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jc w:val="both"/>
        <w:rPr>
          <w:rFonts w:ascii="Arial" w:hAnsi="Arial" w:eastAsia="Arial" w:cs="Arial"/>
          <w:sz w:val="20"/>
          <w:szCs w:val="20"/>
          <w:lang w:val="en-GB" w:eastAsia="en-GB" w:bidi="en-GB"/>
        </w:rPr>
      </w:pPr>
      <w:r>
        <w:drawing>
          <wp:anchor distT="0" distB="0" distL="0" distR="0" simplePos="0" relativeHeight="251660287" behindDoc="0" locked="0" layoutInCell="1" hidden="0" allowOverlap="1">
            <wp:simplePos x="0" y="0"/>
            <wp:positionH relativeFrom="column">
              <wp:align>left</wp:align>
            </wp:positionH>
            <wp:positionV relativeFrom="paragraph">
              <wp:posOffset>0</wp:posOffset>
            </wp:positionV>
            <wp:extent cx="2924175" cy="1076325"/>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924175" cy="1076325"/>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mc:AlternateContent>
          <mc:Choice Requires="wps">
            <w:drawing>
              <wp:anchor distT="0" distB="0" distL="114300" distR="114300" simplePos="0" relativeHeight="251659263" behindDoc="0" locked="0" layoutInCell="1" hidden="0" allowOverlap="1">
                <wp:simplePos x="0" y="0"/>
                <wp:positionH relativeFrom="column">
                  <wp:posOffset>5</wp:posOffset>
                </wp:positionH>
                <wp:positionV relativeFrom="paragraph">
                  <wp:posOffset>112128</wp:posOffset>
                </wp:positionV>
                <wp:extent cx="6296015" cy="0"/>
                <wp:wrapNone/>
                <wp:docPr id="2" name="Line 68"/>
                <a:graphic xmlns:a="http://schemas.openxmlformats.org/drawingml/2006/main">
                  <a:graphicData uri="http://schemas.microsoft.com/office/word/2010/wordprocessingShape">
                    <wps:wsp>
                      <wps:cNvSpPr/>
                      <wps:spPr>
                        <a:xfrm flipV="1">
                          <a:off x="0" y="0"/>
                          <a:ext cx="6296015" cy="0"/>
                        </a:xfrm>
                        <a:prstGeom prst="line"/>
                        <a:solidFill>
                          <a:srgbClr val="FFFFFF">
                            <a:alpha val="0"/>
                          </a:srgbClr>
                        </a:solidFill>
                        <a:ln w="9525">
                          <a:solidFill>
                            <a:srgbClr val="000000"/>
                          </a:solidFill>
                        </a:ln>
                      </wps:spPr>
                      <wps:bodyPr/>
                      <a:extLst>
                        <a:ext uri="{A2A0BA46-8DB7-4952-BFCE-B747086F0524}">
                          <tx19:NetControl tx23:val="drawing" tx23:pict="rId00006"/>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bookmarkStart w:id="1" w:name="Additional"/>
    <w:bookmarkEnd w:id="1"/>
    <w:p>
      <w:pPr>
        <w:pStyle w:val="Normal"/>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College/Service:	Research Directorate: Research Ethics, Governance and Compliance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Post:			Research Governance Officer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ePloy 1095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Grade:			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Head of Research Ethics, Governance and Compliance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Key Relationships:	</w:t>
      </w:r>
      <w:r>
        <w:rPr>
          <w:rFonts w:ascii="Arial" w:hAnsi="Arial" w:eastAsia="Arial" w:cs="Arial"/>
          <w:sz w:val="20"/>
          <w:szCs w:val="20"/>
          <w:lang w:val="en-GB" w:eastAsia="en-GB" w:bidi="en-GB"/>
        </w:rPr>
        <w:t xml:space="preserve">Research Ethics and Governance Manager</w:t>
      </w:r>
      <w:r>
        <w:rPr>
          <w:rFonts w:ascii="Arial" w:hAnsi="Arial" w:eastAsia="Arial" w:cs="Arial"/>
          <w:b/>
          <w:bCs/>
          <w:sz w:val="20"/>
          <w:szCs w:val="20"/>
          <w:lang w:val="en-GB" w:eastAsia="en-GB" w:bidi="en-GB"/>
        </w:rPr>
        <w:t xml:space="preserve">, and </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Senior Research Governance Officer</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60"/>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Academic and research staff</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60"/>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Research students </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60"/>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NHS R&amp;D Facilitators</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60"/>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NHS R&amp;D Department staff</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60"/>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Exeter Clinical Research Facility staff</w:t>
      </w:r>
    </w:p>
    <w:p>
      <w:pPr>
        <w:pStyle w:val="ListParagraph"/>
        <w:numPr>
          <w:ilvl w:val="0"/>
          <w:numId w:val="1"/>
        </w:num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60"/>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Health Research Authority</w:t>
      </w:r>
    </w:p>
    <w:p>
      <w:pPr>
        <w:pStyle w:val="ListParagraph"/>
        <w:numPr>
          <w:ilvl w:val="0"/>
          <w:numId w:val="1"/>
        </w:numPr>
        <w:tabs>
          <w:tab w:val="left" w:pos="2520"/>
          <w:tab w:val="left" w:pos="3978"/>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s>
        <w:ind w:left="25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University Research Managers and administrators</w:t>
      </w:r>
    </w:p>
    <w:p>
      <w:pPr>
        <w:pStyle w:val="ListParagraph"/>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520"/>
        <w:jc w:val="both"/>
        <w:rPr>
          <w:rFonts w:ascii="Arial" w:hAnsi="Arial" w:eastAsia="Arial" w:cs="Arial"/>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above full-time permanent post is available immediately in the Governance and Compliance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post holder will support the safe conduct of research in accordance with the UK Policy Framework for Health and Social Care Research, and with Good Clinical Practice guidelines and the Medicines for Human Use (Clinical Trials) (Amendment) Regulations 2025. They will assist the Research Ethics and Governance Manager in providing assurance that the rights, dignity, safety and wellbeing of participants are protected and that the University’s research governance procedures are followed.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Research Governance Officer will be responsible for supporting researchers in new study applications and ongoing studies, and for performing all research governance processes according to protocols. They will be required to develop knowledge on obtaining the appropriate authorisations and will provide an effective link between external agencies, research teams, relevant University professional services staff and NHS R&amp;D Departments.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Assist the Research Ethics and Governance Manager in the assessment of new study applications for sponsorship approval and for ongoing study amendments. Provide and receive complex information (e.g. approvals, contract/agreement information) and ensure that all study documentation is produced to an acceptable standard.</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the efficient and timely processing of studies to final approval by providing researchers with the relevant information on the requirements for obtaining relevant approvals and actively supporting researchers with producing study documentation and applications.</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 participate in and support the monitoring and audit of ongoing studies</w:t>
      </w:r>
    </w:p>
    <w:p>
      <w:pPr>
        <w:pStyle w:val="BodyText"/>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jc w:val="both"/>
        <w:rPr>
          <w:rFonts w:ascii="Arial" w:hAnsi="Arial" w:eastAsia="Arial" w:cs="Arial"/>
          <w:sz w:val="20"/>
          <w:szCs w:val="20"/>
          <w:lang w:val="en-GB" w:eastAsia="en-GB" w:bidi="en-GB"/>
        </w:rPr>
      </w:pP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Provide support for incident reporting and monitoring of corrective and preventative actions.  Follow procedures on risk and adverse event reporting, completing the appropriate records and report documents where required. </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Adhere to the requirements of the UK Policy Framework for Health and Social Care Research, Good Clinical Practice (GCP), the EU Directive on Clinical Trials (Medicines for Human Use) Act, the Medicines for Human Use (Clinical Trials) (Amendment) Regulations 2025 and other guidance/requirements relating to research, clinical trials and University policies as appropriate.</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and develop knowledge of the relevant IT systems (e.g. Integrated Research Application System (IRAS)), research governance and applicable regulations to ensure that instruction and information provided to researchers is accurate. Maintain current knowledge of best practice and developments.</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Participate in and contribute to process and policy developments. Disseminate and implement these developments as appropriate.</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and develop spreadsheets/databases tracking research progress and timelines. Maintain accurate records on studies, including study files and sponsor files, updating them in a timely manner, requesting updated information and missing/incorrect information as required.</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Generate reports and letters as required. Support the Senior Research Governance Officer/Research Ethics &amp; Governance Manager in the production of reports and plans.</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information is regularly updated on the University’s website and Research Toolkit.</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Facilitate training and workshops for researchers, students and others as required.</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Assist with preparation for inspections conducted by regulatory authorities.</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 and maintain good working relationships with University staff at all levels and with relevant staff from external organisations. Attend meetings within the University and with external organisations as required.</w:t>
      </w:r>
    </w:p>
    <w:p>
      <w:pPr>
        <w:pStyle w:val="BodyText"/>
        <w:numPr>
          <w:ilvl w:val="0"/>
          <w:numId w:val="2"/>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57" w:hanging="357"/>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Support research misconduct and integrity processes. </w:t>
      </w:r>
    </w:p>
    <w:p>
      <w:pPr>
        <w:pStyle w:val="BodyText"/>
        <w:numPr>
          <w:ilvl w:val="0"/>
          <w:numId w:val="3"/>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Other tasks and activities as required by the Research Ethics and Governance Manager, including general office duties and provision of cover for other members of the Research Ethics and Governance Team as required.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u w:val="none"/>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Undergraduate degree or equivalent</w:t>
            </w:r>
          </w:p>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sz w:val="20"/>
                <w:szCs w:val="20"/>
                <w:lang w:val="en-GB" w:eastAsia="en-GB" w:bidi="en-GB"/>
              </w:rPr>
            </w:pPr>
          </w:p>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Degree in a life or social sciences subject; understanding of research methods and ethics</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IT skills including working knowledge of the Microsoft Office Suite and the internet.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customer relations skills including a professional telephone manner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the clinical research governance process including HRA Approval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the Department of Health’s UK Policy Framework for Health and Social Care Research, the Medicines for Human Use (Clinical Trials) (Amendment) Regulations 2025,  Good Clinical Practice, and other regulations relating to medical/clinical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the significance of research governance and good research management</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in a similar or related role (e.g. NHS R&amp;D, HRA, University Research Governance, quality assurance, information governance)</w:t>
            </w:r>
          </w:p>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sz w:val="20"/>
                <w:szCs w:val="20"/>
                <w:lang w:val="en-GB" w:eastAsia="en-GB" w:bidi="en-GB"/>
              </w:rPr>
            </w:pPr>
          </w:p>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b/>
                <w:bCs/>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Demonstrable experience of using strong communication skills to communicate with discretion at all levels.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recording actions on spreadsheets/databases and sharing the information within a team</w:t>
            </w:r>
          </w:p>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developing content for websites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conducting monitoring and/or audit of clinical research.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servicing committees (agendas, papers and minute taking skills).</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Behavioral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Demonstrable ability to work proactively and to find relevant solutions to problems.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Good time management, prioritisation of workloads and ability to follow standard operating procedures without supervision</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 </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Willingness to contribute to national or international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Ability to travel to all campuses of the University in Devon and Cornwall and to travel in the UK for training, CPD and to participate in network events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Informal Enquiries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Sean Jennings, Head of Research Governance, Ethics and Compliance, email s.jennings@exeter.ac.uk.</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u w:val="none"/>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Additional Information Relating to 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Heading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Hours of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Hours of work will be 21.54 hours per week (part-time) but staff at this level may occasionally be required to work additional hours to meet the requirements of the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Terms &amp; Conditions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0"/>
          <w:szCs w:val="20"/>
          <w:lang w:val="en-GB" w:eastAsia="en-GB" w:bidi="en-GB"/>
        </w:rPr>
        <w:t xml:space="preserve">Our Terms and Conditions of Employment can be viewed</w:t>
      </w:r>
      <w:r>
        <w:rPr>
          <w:lang w:val="en-GB" w:eastAsia="en-GB" w:bidi="en-GB"/>
        </w:rPr>
        <w:t xml:space="preserve"> </w:t>
      </w:r>
      <w:r>
        <w:rPr>
          <w:rFonts w:ascii="Arial" w:hAnsi="Arial" w:eastAsia="Arial" w:cs="Arial"/>
          <w:color w:val="0000FF"/>
          <w:sz w:val="20"/>
          <w:szCs w:val="20"/>
          <w:u w:val="single"/>
          <w:lang w:val="en-GB" w:eastAsia="en-GB" w:bidi="en-GB"/>
        </w:rPr>
        <w:fldChar w:fldCharType="begin"/>
      </w:r>
      <w:r>
        <w:rPr>
          <w:rFonts w:ascii="Arial" w:hAnsi="Arial" w:eastAsia="Arial" w:cs="Arial"/>
          <w:color w:val="0000FF"/>
          <w:sz w:val="20"/>
          <w:szCs w:val="20"/>
          <w:u w:val="single"/>
          <w:lang w:val="en-GB" w:eastAsia="en-GB" w:bidi="en-GB"/>
        </w:rPr>
        <w:instrText xml:space="preserve"> HYPERLINK "http://www.exeter.ac.uk/staff/employment/conditions/terms/" </w:instrText>
      </w:r>
      <w:r>
        <w:rPr>
          <w:rFonts w:ascii="Arial" w:hAnsi="Arial" w:eastAsia="Arial" w:cs="Arial"/>
          <w:color w:val="0000FF"/>
          <w:sz w:val="20"/>
          <w:szCs w:val="20"/>
          <w:u w:val="single"/>
          <w:lang w:val="en-GB" w:eastAsia="en-GB" w:bidi="en-GB"/>
        </w:rPr>
        <w:fldChar w:fldCharType="separate"/>
      </w:r>
      <w:r>
        <w:rPr>
          <w:rFonts w:ascii="Arial" w:hAnsi="Arial" w:eastAsia="Arial" w:cs="Arial"/>
          <w:color w:val="0000FF"/>
          <w:sz w:val="20"/>
          <w:szCs w:val="20"/>
          <w:u w:val="single"/>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fldChar w:fldCharType="begin"/>
      </w:r>
      <w:r>
        <w:rPr>
          <w:rFonts w:ascii="Arial" w:hAnsi="Arial" w:eastAsia="Arial" w:cs="Arial"/>
          <w:sz w:val="20"/>
          <w:szCs w:val="20"/>
          <w:lang w:val="en-GB" w:eastAsia="en-GB" w:bidi="en-GB"/>
        </w:rPr>
        <w:instrText xml:space="preserve"> HYPERLINK "http://www.exeter.ac.uk/staff/employment/conditions/terms/" </w:instrText>
      </w:r>
      <w:r>
        <w:rPr>
          <w:rFonts w:ascii="Arial" w:hAnsi="Arial" w:eastAsia="Arial" w:cs="Arial"/>
          <w:sz w:val="20"/>
          <w:szCs w:val="20"/>
          <w:lang w:val="en-GB" w:eastAsia="en-GB" w:bidi="en-GB"/>
        </w:rPr>
        <w:fldChar w:fldCharType="separate"/>
      </w:r>
      <w:r>
        <w:rPr>
          <w:rFonts w:ascii="Arial" w:hAnsi="Arial" w:eastAsia="Arial" w:cs="Arial"/>
          <w:sz w:val="20"/>
          <w:szCs w:val="20"/>
          <w:lang w:val="en-GB" w:eastAsia="en-GB" w:bidi="en-GB"/>
        </w:rPr>
        <w:t xml:space="preserve">.</w:t>
      </w:r>
      <w:r>
        <w:rPr>
          <w:lang w:val="en-GB" w:eastAsia="en-GB" w:bidi="en-GB"/>
        </w:rPr>
        <w:fldChar w:fldCharType="end"/>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Further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0"/>
          <w:szCs w:val="20"/>
          <w:lang w:val="en-GB" w:eastAsia="en-GB" w:bidi="en-GB"/>
        </w:rPr>
        <w:t xml:space="preserve">Please see our</w:t>
      </w:r>
      <w:r>
        <w:rPr>
          <w:lang w:val="en-GB" w:eastAsia="en-GB" w:bidi="en-GB"/>
        </w:rPr>
        <w:t xml:space="preserve"> </w:t>
      </w:r>
      <w:r>
        <w:rPr>
          <w:rFonts w:ascii="Arial" w:hAnsi="Arial" w:eastAsia="Arial" w:cs="Arial"/>
          <w:color w:val="0000FF"/>
          <w:sz w:val="20"/>
          <w:szCs w:val="20"/>
          <w:u w:val="single"/>
          <w:lang w:val="en-GB" w:eastAsia="en-GB" w:bidi="en-GB"/>
        </w:rPr>
        <w:fldChar w:fldCharType="begin"/>
      </w:r>
      <w:r>
        <w:rPr>
          <w:rFonts w:ascii="Arial" w:hAnsi="Arial" w:eastAsia="Arial" w:cs="Arial"/>
          <w:color w:val="0000FF"/>
          <w:sz w:val="20"/>
          <w:szCs w:val="20"/>
          <w:u w:val="single"/>
          <w:lang w:val="en-GB" w:eastAsia="en-GB" w:bidi="en-GB"/>
        </w:rPr>
        <w:instrText xml:space="preserve"> HYPERLINK "http://www.exeter.ac.uk/working/prospective/" </w:instrText>
      </w:r>
      <w:r>
        <w:rPr>
          <w:rFonts w:ascii="Arial" w:hAnsi="Arial" w:eastAsia="Arial" w:cs="Arial"/>
          <w:color w:val="0000FF"/>
          <w:sz w:val="20"/>
          <w:szCs w:val="20"/>
          <w:u w:val="single"/>
          <w:lang w:val="en-GB" w:eastAsia="en-GB" w:bidi="en-GB"/>
        </w:rPr>
        <w:fldChar w:fldCharType="separate"/>
      </w:r>
      <w:r>
        <w:rPr>
          <w:rFonts w:ascii="Arial" w:hAnsi="Arial" w:eastAsia="Arial" w:cs="Arial"/>
          <w:color w:val="0000FF"/>
          <w:sz w:val="20"/>
          <w:szCs w:val="20"/>
          <w:u w:val="single"/>
          <w:lang w:val="en-GB" w:eastAsia="en-GB" w:bidi="en-GB"/>
        </w:rPr>
        <w:t xml:space="preserve">website</w:t>
      </w:r>
      <w:r>
        <w:rPr>
          <w:lang w:val="en-GB" w:eastAsia="en-GB" w:bidi="en-GB"/>
        </w:rPr>
        <w:fldChar w:fldCharType="end"/>
      </w:r>
      <w:r>
        <w:rPr>
          <w:lang w:val="en-GB" w:eastAsia="en-GB" w:bidi="en-GB"/>
        </w:rPr>
        <w:fldChar w:fldCharType="begin"/>
      </w:r>
      <w:r>
        <w:rPr>
          <w:lang w:val="en-GB" w:eastAsia="en-GB" w:bidi="en-GB"/>
        </w:rPr>
        <w:instrText xml:space="preserve"> HYPERLINK "http://www.exeter.ac.uk/working/prospective/" </w:instrText>
      </w:r>
      <w:r>
        <w:rPr>
          <w:lang w:val="en-GB" w:eastAsia="en-GB" w:bidi="en-GB"/>
        </w:rPr>
        <w:fldChar w:fldCharType="separate"/>
      </w:r>
      <w:r>
        <w:rPr>
          <w:lang w:val="en-GB" w:eastAsia="en-GB" w:bidi="en-GB"/>
        </w:rPr>
        <w:t xml:space="preserve"> </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for further information on working at the University of Exeter.</w:t>
      </w:r>
      <w:r>
        <w:rPr>
          <w:lang w:val="en-GB" w:eastAsia="en-GB" w:bidi="en-GB"/>
        </w:rPr>
        <w:t xml:space="preserve"> </w:t>
      </w:r>
    </w:p>
    <w:p>
      <w:pPr>
        <w:pStyle w:val="Normal"/>
        <w:tabs>
          <w:tab w:val="left" w:pos="5954"/>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sectPr>
      <w:footerReference w:type="default" r:id="rId00007"/>
      <w:footerReference w:type="first" r:id="rId00008"/>
      <w:pgSz w:w="11907" w:h="16840"/>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clear" w:pos="8306"/>
        <w:tab w:val="right" w:pos="9639"/>
      </w:tabs>
      <w:rPr>
        <w:i/>
        <w:iCs/>
        <w:sz w:val="18"/>
        <w:szCs w:val="18"/>
        <w:lang w:val="en-GB" w:eastAsia="en-GB" w:bidi="en-GB"/>
      </w:rPr>
    </w:pPr>
    <w:r>
      <w:rPr>
        <w:i/>
        <w:iCs/>
        <w:sz w:val="18"/>
        <w:szCs w:val="18"/>
        <w:lang w:val="en-GB" w:eastAsia="en-GB" w:bidi="en-GB"/>
      </w:rPr>
      <w:t xml:space="preserve">	</w:t>
    </w:r>
  </w:p>
  <w:p>
    <w:pPr>
      <w:pStyle w:val="Footer"/>
      <w:tabs>
        <w:tab w:val="clear" w:pos="8306"/>
        <w:tab w:val="right" w:pos="9639"/>
      </w:tabs>
      <w:jc w:val="center"/>
      <w:rPr>
        <w:i/>
        <w:iCs/>
        <w:sz w:val="18"/>
        <w:szCs w:val="18"/>
        <w:lang w:val="en-US" w:eastAsia="en-US" w:bidi="en-US"/>
      </w:rPr>
    </w:pPr>
    <w:r>
      <w:rPr>
        <w:i/>
        <w:iCs/>
        <w:sz w:val="18"/>
        <w:szCs w:val="18"/>
        <w:lang w:val="en-US" w:eastAsia="en-US" w:bidi="en-US"/>
      </w:rPr>
      <w:t xml:space="preserve">Page </w:t>
    </w:r>
    <w:r>
      <w:rPr>
        <w:i/>
        <w:iCs/>
        <w:noProof/>
        <w:sz w:val="18"/>
        <w:szCs w:val="18"/>
        <w:lang w:val="en-US" w:eastAsia="en-US" w:bidi="en-US"/>
      </w:rPr>
      <w:fldChar w:fldCharType="begin"/>
    </w:r>
    <w:r>
      <w:rPr>
        <w:i/>
        <w:iCs/>
        <w:noProof/>
        <w:sz w:val="18"/>
        <w:szCs w:val="18"/>
        <w:lang w:val="en-US" w:eastAsia="en-US" w:bidi="en-US"/>
      </w:rPr>
      <w:instrText xml:space="preserve"> PAGE \* Arabic \* MERGEFORMAT </w:instrText>
    </w:r>
    <w:r>
      <w:rPr>
        <w:i/>
        <w:iCs/>
        <w:noProof/>
        <w:sz w:val="18"/>
        <w:szCs w:val="18"/>
        <w:lang w:val="en-US" w:eastAsia="en-US" w:bidi="en-US"/>
      </w:rPr>
      <w:fldChar w:fldCharType="separate"/>
    </w:r>
    <w:r>
      <w:rPr>
        <w:i/>
        <w:iCs/>
        <w:noProof/>
        <w:sz w:val="18"/>
        <w:szCs w:val="18"/>
        <w:lang w:val="en-US" w:eastAsia="en-US" w:bidi="en-US"/>
      </w:rPr>
      <w:t xml:space="preserve">2</w:t>
    </w:r>
    <w:r>
      <w:rPr>
        <w:i/>
        <w:iCs/>
        <w:sz w:val="18"/>
        <w:szCs w:val="18"/>
        <w:lang w:val="en-US" w:eastAsia="en-US" w:bidi="en-US"/>
      </w:rPr>
      <w:fldChar w:fldCharType="end"/>
    </w:r>
    <w:r>
      <w:rPr>
        <w:i/>
        <w:iCs/>
        <w:sz w:val="18"/>
        <w:szCs w:val="18"/>
        <w:lang w:val="en-US" w:eastAsia="en-US" w:bidi="en-US"/>
      </w:rPr>
      <w:t xml:space="preserve"> of </w:t>
    </w:r>
    <w:r>
      <w:rPr>
        <w:i/>
        <w:iCs/>
        <w:noProof/>
        <w:sz w:val="18"/>
        <w:szCs w:val="18"/>
        <w:lang w:val="en-US" w:eastAsia="en-US" w:bidi="en-US"/>
      </w:rPr>
      <w:fldChar w:fldCharType="begin"/>
    </w:r>
    <w:r>
      <w:rPr>
        <w:i/>
        <w:iCs/>
        <w:noProof/>
        <w:sz w:val="18"/>
        <w:szCs w:val="18"/>
        <w:lang w:val="en-US" w:eastAsia="en-US" w:bidi="en-US"/>
      </w:rPr>
      <w:instrText xml:space="preserve"> NUMPAGES \* Arabic \* MERGEFORMAT </w:instrText>
    </w:r>
    <w:r>
      <w:rPr>
        <w:i/>
        <w:iCs/>
        <w:noProof/>
        <w:sz w:val="18"/>
        <w:szCs w:val="18"/>
        <w:lang w:val="en-US" w:eastAsia="en-US" w:bidi="en-US"/>
      </w:rPr>
      <w:fldChar w:fldCharType="separate"/>
    </w:r>
    <w:r>
      <w:rPr>
        <w:i/>
        <w:iCs/>
        <w:noProof/>
        <w:sz w:val="18"/>
        <w:szCs w:val="18"/>
        <w:lang w:val="en-US" w:eastAsia="en-US" w:bidi="en-US"/>
      </w:rPr>
      <w:t xml:space="preserve">4</w:t>
    </w:r>
    <w:r>
      <w:rPr>
        <w:i/>
        <w:iCs/>
        <w:sz w:val="18"/>
        <w:szCs w:val="18"/>
        <w:lang w:val="en-US" w:eastAsia="en-US" w:bidi="en-US"/>
      </w:rPr>
      <w:fldChar w:fldCharType="end"/>
    </w:r>
  </w:p>
  <w:p>
    <w:pPr>
      <w:pStyle w:val="Footer"/>
      <w:tabs>
        <w:tab w:val="clear" w:pos="8306"/>
        <w:tab w:val="right" w:pos="9639"/>
      </w:tabs>
      <w:jc w:val="center"/>
      <w:rPr>
        <w:i/>
        <w:iCs/>
        <w:sz w:val="18"/>
        <w:szCs w:val="18"/>
        <w:lang w:val="en-US" w:eastAsia="en-US" w:bidi="en-US"/>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rPr>
        <w:sz w:val="1"/>
        <w:szCs w:val="1"/>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2520" w:hanging="360"/>
        <w:tabs>
          <w:tab w:val="num" w:pos="2520"/>
        </w:tabs>
      </w:pPr>
      <w:rPr>
        <w:rFonts w:hint="default" w:ascii="Symbol" w:hAnsi="Symbol" w:eastAsia="Symbol" w:cs="Symbol"/>
        <w:b w:val="off"/>
        <w:i w:val="off"/>
        <w:strike w:val="off"/>
        <w:color w:val="auto"/>
        <w:position w:val="0"/>
        <w:sz w:val="20"/>
        <w:u w:val="none"/>
        <w:shd w:val="clear" w:color="auto" w:fill="auto"/>
      </w:rPr>
    </w:lvl>
  </w:abstractNum>
  <w:abstractNum w:abstractNumId="1">
    <w:multiLevelType w:val="singleLevel"/>
    <w:lvl w:ilvl="0">
      <w:start w:val="1"/>
      <w:numFmt w:val="bullet"/>
      <w:suff w:val="tab"/>
      <w:lvlText w:val=""/>
      <w:pPr>
        <w:ind w:left="357" w:hanging="357"/>
        <w:tabs>
          <w:tab w:val="num" w:pos="357"/>
        </w:tabs>
      </w:pPr>
      <w:rPr>
        <w:rFonts w:hint="default" w:ascii="Symbol" w:hAnsi="Symbol" w:eastAsia="Symbol" w:cs="Symbol"/>
        <w:b w:val="off"/>
        <w:i w:val="off"/>
        <w:strike w:val="off"/>
        <w:color w:val="auto"/>
        <w:position w:val="0"/>
        <w:sz w:val="20"/>
        <w:u w:val="none"/>
        <w:shd w:val="clear" w:color="auto" w:fill="auto"/>
      </w:rPr>
    </w:lvl>
  </w:abstractNum>
  <w:abstractNum w:abstractNumId="2">
    <w:multiLevelType w:val="singleLevel"/>
    <w:lvl w:ilvl="0">
      <w:start w:val="1"/>
      <w:numFmt w:val="bullet"/>
      <w:suff w:val="tab"/>
      <w:lvlText w:val=""/>
      <w:pPr>
        <w:ind w:left="426" w:hanging="426"/>
        <w:tabs>
          <w:tab w:val="num" w:pos="426"/>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rPr>
      <w:rFonts w:ascii="Verdana" w:hAnsi="Verdana" w:eastAsia="Verdana" w:cs="Verdana"/>
      <w:color w:val="333333"/>
      <w:sz w:val="14"/>
      <w:szCs w:val="14"/>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character" w:styleId="Hyperlink">
    <w:name w:val="Hyperlink"/>
    <w:qFormat/>
    <w:rPr>
      <w:color w:val="0000FF"/>
      <w:u w:val="single"/>
      <w:rtl w:val="off"/>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character" w:styleId="FollowedHyperlink">
    <w:name w:val="FollowedHyperlink"/>
    <w:qFormat/>
    <w:rPr>
      <w:color w:val="800080"/>
      <w:u w:val="single"/>
      <w:rtl w:val="off"/>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character" w:styleId="FootnoteReference">
    <w:name w:val="footnote reference"/>
    <w:qFormat/>
    <w:rPr>
      <w:vertAlign w:val="superscript"/>
      <w:rtl w:val="off"/>
    </w:rPr>
  </w:style>
  <w:style w:type="paragraph" w:styleId="Caption">
    <w:name w:val="caption"/>
    <w:basedOn w:val="Normal"/>
    <w:next w:val="Normal"/>
    <w:qFormat/>
    <w:pPr>
      <w:spacing w:before="120" w:after="120"/>
    </w:pPr>
    <w:rPr>
      <w:b/>
      <w:bCs/>
      <w:sz w:val="20"/>
      <w:szCs w:val="20"/>
      <w:lang w:val="en-GB" w:eastAsia="en-GB" w:bidi="en-GB"/>
    </w:rPr>
  </w:style>
  <w:style w:type="character" w:styleId="Strong">
    <w:name w:val="Strong"/>
    <w:qFormat/>
    <w:rPr>
      <w:b/>
      <w:bCs/>
      <w:rtl w:val="off"/>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character" w:styleId="Emphasis">
    <w:name w:val="Emphasis"/>
    <w:qFormat/>
    <w:rPr>
      <w:i/>
      <w:iCs/>
      <w:rtl w:val="off"/>
    </w:rPr>
  </w:style>
  <w:style w:type="paragraph" w:styleId="Subtitle">
    <w:name w:val="Subtitle"/>
    <w:basedOn w:val="Normal"/>
    <w:next w:val="Subtitle"/>
    <w:qFormat/>
    <w:pPr/>
    <w:rPr>
      <w:rFonts w:ascii="Arial" w:hAnsi="Arial" w:eastAsia="Arial" w:cs="Arial"/>
      <w:b/>
      <w:bCs/>
      <w:i/>
      <w:iCs/>
      <w:lang w:val="en-GB" w:eastAsia="en-GB" w:bidi="en-GB"/>
    </w:rPr>
  </w:style>
  <w:style w:type="character" w:styleId="Plain Text Char" w:customStyle="1">
    <w:name w:val="Plain Text Char"/>
    <w:qFormat/>
    <w:rPr>
      <w:rFonts w:ascii="Arial" w:hAnsi="Arial" w:eastAsia="Arial" w:cs="Arial"/>
      <w:color w:val="000000"/>
      <w:rtl w:val="off"/>
      <w:lang w:val="en-US" w:eastAsia="en-US" w:bidi="en-US"/>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tl w:val="off"/>
      <w:lang w:val="en-GB" w:eastAsia="en-GB" w:bidi="en-GB"/>
    </w:rPr>
  </w:style>
  <w:style w:type="character" w:styleId="Comment Subject Char" w:customStyle="1">
    <w:name w:val="Comment Subject Char"/>
    <w:basedOn w:val="Comment Text Char"/>
    <w:qFormat/>
    <w:rPr>
      <w:b/>
      <w:bCs/>
      <w:lang w:val="en-GB" w:eastAsia="en-GB" w:bidi="en-GB"/>
    </w:rPr>
  </w:style>
  <w:style w:type="character" w:styleId="Heading 1 Char" w:customStyle="1">
    <w:name w:val="Heading 1 Char"/>
    <w:qFormat/>
    <w:rPr>
      <w:b/>
      <w:bCs/>
      <w:sz w:val="22"/>
      <w:szCs w:val="22"/>
      <w:u w:val="single"/>
      <w:rtl w:val="off"/>
      <w:lang w:val="en-GB" w:eastAsia="en-GB" w:bidi="en-GB"/>
    </w:rPr>
  </w:style>
  <w:style w:type="character" w:styleId="Body Text Char" w:customStyle="1">
    <w:name w:val="Body Text Char"/>
    <w:qFormat/>
    <w:rPr>
      <w:sz w:val="22"/>
      <w:szCs w:val="22"/>
      <w:rtl w:val="off"/>
      <w:lang w:val="en-GB" w:eastAsia="en-GB" w:bidi="en-GB"/>
    </w:rPr>
  </w:style>
  <w:style w:type="character" w:styleId="Body Text 3 Char" w:customStyle="1">
    <w:name w:val="Body Text 3 Char"/>
    <w:qFormat/>
    <w:rPr>
      <w:rFonts w:ascii="MS Sans Serif" w:hAnsi="MS Sans Serif" w:eastAsia="MS Sans Serif" w:cs="MS Sans Serif"/>
      <w:sz w:val="22"/>
      <w:szCs w:val="22"/>
      <w:rtl w:val="off"/>
      <w:lang w:val="en-GB" w:eastAsia="en-GB" w:bidi="en-GB"/>
    </w:rPr>
  </w:style>
  <w:style w:type="character" w:styleId="UnresolvedMention">
    <w:name w:val="Unresolved Mention"/>
    <w:qFormat/>
    <w:rPr>
      <w:color w:val="605E5C"/>
      <w:shd w:val="clear" w:color="auto" w:fill="E1DFDD"/>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5" Type="http://schemas.openxmlformats.org/officeDocument/2006/relationships/image" Target="media/image0001.png"/>
	<Relationship Id="rId00006" Type="http://schemas.openxmlformats.org/officeDocument/2006/relationships/image" Target="media/image0002.emf"/>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Malone, Edward</dc:creator>
  <dcterms:created xsi:type="dcterms:W3CDTF">2026-09-18T13:50:00Z</dcterms:created>
</cp:coreProperties>
</file>