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35A3E56C" w:rsidR="006246F0" w:rsidRPr="003D47B5" w:rsidRDefault="006246F0" w:rsidP="00564D63">
      <w:pPr>
        <w:spacing w:line="240" w:lineRule="auto"/>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E79808E" w:rsidR="061A3A59" w:rsidRPr="002F0731" w:rsidRDefault="006246F0" w:rsidP="00564D63">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r w:rsidR="00750131" w:rsidRPr="00561752">
        <w:rPr>
          <w:rStyle w:val="TORTemplate"/>
          <w:b/>
          <w:bCs/>
        </w:rPr>
        <w:t xml:space="preserve">Documentation </w:t>
      </w:r>
      <w:r w:rsidR="00971986" w:rsidRPr="00561752">
        <w:rPr>
          <w:rStyle w:val="TORTemplate"/>
          <w:b/>
          <w:bCs/>
        </w:rPr>
        <w:t>of Performance-based Grants for the Philippine Multisect</w:t>
      </w:r>
      <w:r w:rsidR="00E72D1E" w:rsidRPr="00561752">
        <w:rPr>
          <w:rStyle w:val="TORTemplate"/>
          <w:b/>
          <w:bCs/>
        </w:rPr>
        <w:t>oral Project Consultant</w:t>
      </w:r>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74D6C055" w:rsidR="1E49EE09" w:rsidRDefault="00F604D4" w:rsidP="00564D63">
      <w:pPr>
        <w:spacing w:line="240" w:lineRule="auto"/>
        <w:jc w:val="center"/>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561752">
            <w:rPr>
              <w:rStyle w:val="TORTemplate"/>
            </w:rPr>
            <w:t>PHP</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1066" w:type="dxa"/>
        <w:tblInd w:w="-995" w:type="dxa"/>
        <w:tblLayout w:type="fixed"/>
        <w:tblLook w:val="04A0" w:firstRow="1" w:lastRow="0" w:firstColumn="1" w:lastColumn="0" w:noHBand="0" w:noVBand="1"/>
      </w:tblPr>
      <w:tblGrid>
        <w:gridCol w:w="630"/>
        <w:gridCol w:w="2070"/>
        <w:gridCol w:w="1260"/>
        <w:gridCol w:w="1530"/>
        <w:gridCol w:w="1080"/>
        <w:gridCol w:w="829"/>
        <w:gridCol w:w="16"/>
        <w:gridCol w:w="1315"/>
        <w:gridCol w:w="970"/>
        <w:gridCol w:w="16"/>
        <w:gridCol w:w="1334"/>
        <w:gridCol w:w="16"/>
      </w:tblGrid>
      <w:tr w:rsidR="006246F0" w:rsidRPr="00EC460A" w14:paraId="002D6C9B" w14:textId="77777777" w:rsidTr="00935D3F">
        <w:trPr>
          <w:gridAfter w:val="1"/>
          <w:wAfter w:w="16" w:type="dxa"/>
        </w:trPr>
        <w:tc>
          <w:tcPr>
            <w:tcW w:w="630" w:type="dxa"/>
          </w:tcPr>
          <w:p w14:paraId="6B7C141B" w14:textId="77777777" w:rsidR="006246F0" w:rsidRPr="00AB1EAF" w:rsidRDefault="006246F0" w:rsidP="009A74C0">
            <w:pPr>
              <w:spacing w:line="240" w:lineRule="auto"/>
              <w:jc w:val="center"/>
              <w:rPr>
                <w:rFonts w:asciiTheme="minorHAnsi" w:hAnsiTheme="minorHAnsi" w:cstheme="minorHAnsi"/>
                <w:b/>
                <w:bCs/>
                <w:sz w:val="16"/>
                <w:szCs w:val="16"/>
              </w:rPr>
            </w:pPr>
            <w:r w:rsidRPr="00AB1EAF">
              <w:rPr>
                <w:rFonts w:asciiTheme="minorHAnsi" w:hAnsiTheme="minorHAnsi" w:cstheme="minorHAnsi"/>
                <w:b/>
                <w:bCs/>
                <w:sz w:val="16"/>
                <w:szCs w:val="16"/>
              </w:rPr>
              <w:t>S. No.</w:t>
            </w:r>
          </w:p>
        </w:tc>
        <w:tc>
          <w:tcPr>
            <w:tcW w:w="207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60" w:type="dxa"/>
          </w:tcPr>
          <w:p w14:paraId="603117B3" w14:textId="77777777"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Deadline for completion of deliverable</w:t>
            </w:r>
          </w:p>
        </w:tc>
        <w:tc>
          <w:tcPr>
            <w:tcW w:w="1530" w:type="dxa"/>
            <w:shd w:val="clear" w:color="auto" w:fill="FFFFFF" w:themeFill="background1"/>
          </w:tcPr>
          <w:p w14:paraId="56671162" w14:textId="77777777"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Details of Travel Required</w:t>
            </w:r>
          </w:p>
        </w:tc>
        <w:tc>
          <w:tcPr>
            <w:tcW w:w="1080" w:type="dxa"/>
            <w:shd w:val="clear" w:color="auto" w:fill="F6C5AC" w:themeFill="accent2" w:themeFillTint="66"/>
          </w:tcPr>
          <w:p w14:paraId="4B12B0E5" w14:textId="77777777"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Professional Fee (Daily)</w:t>
            </w:r>
          </w:p>
          <w:p w14:paraId="0B2B9CB1" w14:textId="77777777" w:rsidR="006246F0" w:rsidRPr="001C57F3" w:rsidRDefault="006246F0" w:rsidP="009A74C0">
            <w:pPr>
              <w:spacing w:line="240" w:lineRule="auto"/>
              <w:ind w:right="-19"/>
              <w:jc w:val="center"/>
              <w:rPr>
                <w:rFonts w:asciiTheme="minorHAnsi" w:eastAsiaTheme="minorEastAsia" w:hAnsiTheme="minorHAnsi" w:cstheme="minorHAnsi"/>
                <w:color w:val="00B0F0"/>
                <w:sz w:val="18"/>
                <w:szCs w:val="18"/>
                <w14:ligatures w14:val="standardContextual"/>
              </w:rPr>
            </w:pPr>
          </w:p>
          <w:p w14:paraId="2326E4CE" w14:textId="77777777" w:rsidR="006246F0" w:rsidRPr="001C57F3" w:rsidRDefault="006246F0" w:rsidP="009A74C0">
            <w:pPr>
              <w:spacing w:line="240" w:lineRule="auto"/>
              <w:jc w:val="center"/>
              <w:rPr>
                <w:rFonts w:asciiTheme="minorHAnsi" w:hAnsiTheme="minorHAnsi" w:cstheme="minorHAnsi"/>
                <w:b/>
                <w:bCs/>
                <w:sz w:val="18"/>
                <w:szCs w:val="18"/>
              </w:rPr>
            </w:pPr>
          </w:p>
        </w:tc>
        <w:tc>
          <w:tcPr>
            <w:tcW w:w="829" w:type="dxa"/>
            <w:shd w:val="clear" w:color="auto" w:fill="F6C5AC" w:themeFill="accent2" w:themeFillTint="66"/>
          </w:tcPr>
          <w:p w14:paraId="262476A6" w14:textId="77777777"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Input Days</w:t>
            </w:r>
          </w:p>
        </w:tc>
        <w:tc>
          <w:tcPr>
            <w:tcW w:w="1331" w:type="dxa"/>
            <w:gridSpan w:val="2"/>
            <w:shd w:val="clear" w:color="auto" w:fill="F6C5AC" w:themeFill="accent2" w:themeFillTint="66"/>
          </w:tcPr>
          <w:p w14:paraId="5FE8808A" w14:textId="0A6434EC"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 xml:space="preserve">Total Professional Fee </w:t>
            </w:r>
          </w:p>
        </w:tc>
        <w:tc>
          <w:tcPr>
            <w:tcW w:w="970" w:type="dxa"/>
            <w:shd w:val="clear" w:color="auto" w:fill="F6C5AC" w:themeFill="accent2" w:themeFillTint="66"/>
          </w:tcPr>
          <w:p w14:paraId="75981DD9" w14:textId="414EEDCB"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 xml:space="preserve">Total Travel Cost </w:t>
            </w:r>
          </w:p>
        </w:tc>
        <w:tc>
          <w:tcPr>
            <w:tcW w:w="1350" w:type="dxa"/>
            <w:gridSpan w:val="2"/>
            <w:shd w:val="clear" w:color="auto" w:fill="F6C5AC" w:themeFill="accent2" w:themeFillTint="66"/>
          </w:tcPr>
          <w:p w14:paraId="67BE075D" w14:textId="3DAC3D26" w:rsidR="006246F0" w:rsidRPr="001C57F3" w:rsidRDefault="006246F0" w:rsidP="009A74C0">
            <w:pPr>
              <w:spacing w:line="240" w:lineRule="auto"/>
              <w:jc w:val="center"/>
              <w:rPr>
                <w:rFonts w:asciiTheme="minorHAnsi" w:hAnsiTheme="minorHAnsi" w:cstheme="minorHAnsi"/>
                <w:b/>
                <w:bCs/>
                <w:sz w:val="18"/>
                <w:szCs w:val="18"/>
              </w:rPr>
            </w:pPr>
            <w:r w:rsidRPr="001C57F3">
              <w:rPr>
                <w:rFonts w:asciiTheme="minorHAnsi" w:hAnsiTheme="minorHAnsi" w:cstheme="minorHAnsi"/>
                <w:b/>
                <w:bCs/>
                <w:sz w:val="18"/>
                <w:szCs w:val="18"/>
              </w:rPr>
              <w:t>Total Amount (All Inclusive Fee</w:t>
            </w:r>
            <w:r w:rsidR="004F3476" w:rsidRPr="001C57F3">
              <w:rPr>
                <w:rFonts w:asciiTheme="minorHAnsi" w:hAnsiTheme="minorHAnsi" w:cstheme="minorHAnsi"/>
                <w:b/>
                <w:bCs/>
                <w:sz w:val="18"/>
                <w:szCs w:val="18"/>
              </w:rPr>
              <w:t>)</w:t>
            </w:r>
            <w:r w:rsidRPr="001C57F3">
              <w:rPr>
                <w:rFonts w:asciiTheme="minorHAnsi" w:hAnsiTheme="minorHAnsi" w:cstheme="minorHAnsi"/>
                <w:b/>
                <w:bCs/>
                <w:sz w:val="18"/>
                <w:szCs w:val="18"/>
              </w:rPr>
              <w:t xml:space="preserve"> </w:t>
            </w:r>
          </w:p>
        </w:tc>
      </w:tr>
      <w:tr w:rsidR="006246F0" w:rsidRPr="00EC460A" w14:paraId="617FD3A9" w14:textId="77777777" w:rsidTr="00935D3F">
        <w:trPr>
          <w:gridAfter w:val="1"/>
          <w:wAfter w:w="16" w:type="dxa"/>
        </w:trPr>
        <w:tc>
          <w:tcPr>
            <w:tcW w:w="63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07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6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53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0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2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331"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97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935D3F">
        <w:trPr>
          <w:gridAfter w:val="1"/>
          <w:wAfter w:w="16" w:type="dxa"/>
          <w:trHeight w:val="540"/>
        </w:trPr>
        <w:tc>
          <w:tcPr>
            <w:tcW w:w="63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2F3ECD39"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070" w:type="dxa"/>
          </w:tcPr>
          <w:p w14:paraId="06856E66" w14:textId="77777777" w:rsidR="001C57F3" w:rsidRPr="001C57F3" w:rsidRDefault="001C57F3" w:rsidP="001C57F3">
            <w:pPr>
              <w:spacing w:line="240" w:lineRule="auto"/>
              <w:rPr>
                <w:rFonts w:asciiTheme="minorHAnsi" w:hAnsiTheme="minorHAnsi"/>
              </w:rPr>
            </w:pPr>
            <w:r w:rsidRPr="001C57F3">
              <w:rPr>
                <w:rFonts w:asciiTheme="minorHAnsi" w:hAnsiTheme="minorHAnsi"/>
              </w:rPr>
              <w:t xml:space="preserve">• The consultant will develop </w:t>
            </w:r>
            <w:proofErr w:type="gramStart"/>
            <w:r w:rsidRPr="001C57F3">
              <w:rPr>
                <w:rFonts w:asciiTheme="minorHAnsi" w:hAnsiTheme="minorHAnsi"/>
              </w:rPr>
              <w:t>a</w:t>
            </w:r>
            <w:proofErr w:type="gramEnd"/>
            <w:r w:rsidRPr="001C57F3">
              <w:rPr>
                <w:rFonts w:asciiTheme="minorHAnsi" w:hAnsiTheme="minorHAnsi"/>
              </w:rPr>
              <w:t xml:space="preserve"> Inception report which includes:</w:t>
            </w:r>
          </w:p>
          <w:p w14:paraId="60E639A6" w14:textId="47E8E4D2" w:rsidR="002A1177" w:rsidRPr="00A24193" w:rsidRDefault="001C57F3" w:rsidP="001C57F3">
            <w:pPr>
              <w:spacing w:line="240" w:lineRule="auto"/>
              <w:rPr>
                <w:rFonts w:asciiTheme="minorHAnsi" w:hAnsiTheme="minorHAnsi"/>
              </w:rPr>
            </w:pPr>
            <w:r w:rsidRPr="001C57F3">
              <w:rPr>
                <w:rFonts w:asciiTheme="minorHAnsi" w:hAnsiTheme="minorHAnsi"/>
              </w:rPr>
              <w:t>• Detailed implementation plan Documentation Report Template that provides an agreed structure and clear guidance on the key content, evidence, and information requirements for documenting the PBG experience under the PMNP. The proposed template will be submitted to UNICEF, the NPMO, and the World Bank for review and clearance, and will serve as the framework for the succeeding documentation and analysis.</w:t>
            </w:r>
          </w:p>
        </w:tc>
        <w:tc>
          <w:tcPr>
            <w:tcW w:w="1260" w:type="dxa"/>
          </w:tcPr>
          <w:p w14:paraId="7B3E743C" w14:textId="675617B2" w:rsidR="002A1177" w:rsidRPr="00A24193" w:rsidRDefault="009A2057" w:rsidP="35A8D3E5">
            <w:pPr>
              <w:spacing w:line="240" w:lineRule="auto"/>
              <w:rPr>
                <w:rFonts w:asciiTheme="minorHAnsi" w:hAnsiTheme="minorHAnsi"/>
              </w:rPr>
            </w:pPr>
            <w:r>
              <w:rPr>
                <w:rFonts w:asciiTheme="minorHAnsi" w:hAnsiTheme="minorHAnsi"/>
              </w:rPr>
              <w:t>30/11/2026</w:t>
            </w:r>
          </w:p>
        </w:tc>
        <w:tc>
          <w:tcPr>
            <w:tcW w:w="1530" w:type="dxa"/>
            <w:shd w:val="clear" w:color="auto" w:fill="FFFFFF" w:themeFill="background1"/>
          </w:tcPr>
          <w:p w14:paraId="25FE2752" w14:textId="644BFB19" w:rsidR="002A1177" w:rsidRPr="009B3299" w:rsidRDefault="002A1177" w:rsidP="002A1177">
            <w:pPr>
              <w:spacing w:line="240" w:lineRule="auto"/>
              <w:rPr>
                <w:rFonts w:asciiTheme="minorHAnsi" w:hAnsiTheme="minorHAnsi"/>
                <w:lang w:val="en-AU"/>
              </w:rPr>
            </w:pPr>
          </w:p>
        </w:tc>
        <w:tc>
          <w:tcPr>
            <w:tcW w:w="108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31"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70"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302E3A"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935D3F">
        <w:trPr>
          <w:gridAfter w:val="1"/>
          <w:wAfter w:w="16" w:type="dxa"/>
        </w:trPr>
        <w:tc>
          <w:tcPr>
            <w:tcW w:w="630" w:type="dxa"/>
          </w:tcPr>
          <w:p w14:paraId="2BC98442" w14:textId="1753D096"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070" w:type="dxa"/>
          </w:tcPr>
          <w:p w14:paraId="76856C75" w14:textId="5DF83901" w:rsidR="006C6950" w:rsidRPr="00A24193" w:rsidRDefault="00AB1EAF" w:rsidP="33D21A28">
            <w:pPr>
              <w:spacing w:line="240" w:lineRule="auto"/>
              <w:rPr>
                <w:rFonts w:asciiTheme="minorHAnsi" w:hAnsiTheme="minorHAnsi"/>
              </w:rPr>
            </w:pPr>
            <w:r w:rsidRPr="00AB1EAF">
              <w:rPr>
                <w:rFonts w:asciiTheme="minorHAnsi" w:hAnsiTheme="minorHAnsi"/>
              </w:rPr>
              <w:t>Draft Interim Report presenting the documented implementation experience and LGU responses across the three case studies, including emerging findings, implementation lessons, and areas for further consideration in assessing the institutionalization and</w:t>
            </w:r>
            <w:r w:rsidR="00E71F92">
              <w:rPr>
                <w:rFonts w:asciiTheme="minorHAnsi" w:hAnsiTheme="minorHAnsi"/>
              </w:rPr>
              <w:t xml:space="preserve"> </w:t>
            </w:r>
            <w:r w:rsidR="00E71F92" w:rsidRPr="00E71F92">
              <w:rPr>
                <w:rFonts w:asciiTheme="minorHAnsi" w:hAnsiTheme="minorHAnsi"/>
              </w:rPr>
              <w:t xml:space="preserve">broader </w:t>
            </w:r>
            <w:r w:rsidR="00E71F92" w:rsidRPr="00E71F92">
              <w:rPr>
                <w:rFonts w:asciiTheme="minorHAnsi" w:hAnsiTheme="minorHAnsi"/>
              </w:rPr>
              <w:lastRenderedPageBreak/>
              <w:t>application of the PBG mechanism</w:t>
            </w:r>
            <w:r w:rsidR="00E71F92">
              <w:rPr>
                <w:rFonts w:asciiTheme="minorHAnsi" w:hAnsiTheme="minorHAnsi"/>
              </w:rPr>
              <w:t>.</w:t>
            </w:r>
          </w:p>
        </w:tc>
        <w:tc>
          <w:tcPr>
            <w:tcW w:w="1260" w:type="dxa"/>
          </w:tcPr>
          <w:p w14:paraId="779EB39F" w14:textId="7CE754F3" w:rsidR="006C6950" w:rsidRPr="00A24193" w:rsidRDefault="00706326" w:rsidP="33D21A28">
            <w:pPr>
              <w:spacing w:line="240" w:lineRule="auto"/>
              <w:rPr>
                <w:rFonts w:asciiTheme="minorHAnsi" w:hAnsiTheme="minorHAnsi"/>
              </w:rPr>
            </w:pPr>
            <w:r>
              <w:rPr>
                <w:rFonts w:asciiTheme="minorHAnsi" w:hAnsiTheme="minorHAnsi"/>
              </w:rPr>
              <w:lastRenderedPageBreak/>
              <w:t>30/12/2026</w:t>
            </w:r>
          </w:p>
        </w:tc>
        <w:tc>
          <w:tcPr>
            <w:tcW w:w="1530" w:type="dxa"/>
            <w:shd w:val="clear" w:color="auto" w:fill="FFFFFF" w:themeFill="background1"/>
          </w:tcPr>
          <w:p w14:paraId="1E5DC2FD" w14:textId="5C0D706A" w:rsidR="006C6950" w:rsidRPr="009B3299" w:rsidRDefault="00706326" w:rsidP="006C6950">
            <w:pPr>
              <w:spacing w:line="240" w:lineRule="auto"/>
              <w:rPr>
                <w:rFonts w:asciiTheme="minorHAnsi" w:hAnsiTheme="minorHAnsi"/>
              </w:rPr>
            </w:pPr>
            <w:r w:rsidRPr="00706326">
              <w:rPr>
                <w:rFonts w:asciiTheme="minorHAnsi" w:hAnsiTheme="minorHAnsi"/>
              </w:rPr>
              <w:t xml:space="preserve">Travel required: 2 days in each of the following PMNP Municipalities: (1) Gainza, Camarines Sur; (2) </w:t>
            </w:r>
            <w:proofErr w:type="spellStart"/>
            <w:r w:rsidRPr="00706326">
              <w:rPr>
                <w:rFonts w:asciiTheme="minorHAnsi" w:hAnsiTheme="minorHAnsi"/>
              </w:rPr>
              <w:t>Badiangan</w:t>
            </w:r>
            <w:proofErr w:type="spellEnd"/>
            <w:r w:rsidRPr="00706326">
              <w:rPr>
                <w:rFonts w:asciiTheme="minorHAnsi" w:hAnsiTheme="minorHAnsi"/>
              </w:rPr>
              <w:t xml:space="preserve">, Iloilo; and (3) </w:t>
            </w:r>
            <w:proofErr w:type="spellStart"/>
            <w:r w:rsidRPr="00706326">
              <w:rPr>
                <w:rFonts w:asciiTheme="minorHAnsi" w:hAnsiTheme="minorHAnsi"/>
              </w:rPr>
              <w:t>Talakag</w:t>
            </w:r>
            <w:proofErr w:type="spellEnd"/>
            <w:r w:rsidRPr="00706326">
              <w:rPr>
                <w:rFonts w:asciiTheme="minorHAnsi" w:hAnsiTheme="minorHAnsi"/>
              </w:rPr>
              <w:t>, Bukidnon</w:t>
            </w:r>
          </w:p>
        </w:tc>
        <w:tc>
          <w:tcPr>
            <w:tcW w:w="108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31"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70"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302E3A"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935D3F">
        <w:trPr>
          <w:gridAfter w:val="1"/>
          <w:wAfter w:w="16" w:type="dxa"/>
          <w:trHeight w:val="585"/>
        </w:trPr>
        <w:tc>
          <w:tcPr>
            <w:tcW w:w="630" w:type="dxa"/>
          </w:tcPr>
          <w:p w14:paraId="0031F595" w14:textId="0575CBE9"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070" w:type="dxa"/>
          </w:tcPr>
          <w:p w14:paraId="7EFC08BA" w14:textId="27B2BA55" w:rsidR="00CA1D34" w:rsidRPr="00A24193" w:rsidRDefault="00B04804" w:rsidP="33D21A28">
            <w:pPr>
              <w:spacing w:line="240" w:lineRule="auto"/>
              <w:rPr>
                <w:rFonts w:asciiTheme="minorHAnsi" w:hAnsiTheme="minorHAnsi"/>
              </w:rPr>
            </w:pPr>
            <w:r w:rsidRPr="00B04804">
              <w:rPr>
                <w:rFonts w:asciiTheme="minorHAnsi" w:hAnsiTheme="minorHAnsi"/>
              </w:rPr>
              <w:t>PBG Process Documentation Report presenting the validated end-to-end PBG process and key institutionalization considerations for its continued use and possible adaptation</w:t>
            </w:r>
          </w:p>
        </w:tc>
        <w:tc>
          <w:tcPr>
            <w:tcW w:w="1260" w:type="dxa"/>
          </w:tcPr>
          <w:p w14:paraId="25E7C86E" w14:textId="437C2646"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606089">
              <w:rPr>
                <w:rFonts w:asciiTheme="minorHAnsi" w:hAnsiTheme="minorHAnsi"/>
              </w:rPr>
              <w:t>1/02/2027</w:t>
            </w:r>
          </w:p>
        </w:tc>
        <w:tc>
          <w:tcPr>
            <w:tcW w:w="1530" w:type="dxa"/>
            <w:shd w:val="clear" w:color="auto" w:fill="FFFFFF" w:themeFill="background1"/>
          </w:tcPr>
          <w:p w14:paraId="59607B51" w14:textId="77777777" w:rsidR="00A82826" w:rsidRPr="00041262" w:rsidRDefault="00A82826" w:rsidP="00A82826">
            <w:pPr>
              <w:pStyle w:val="Default"/>
              <w:rPr>
                <w:rFonts w:asciiTheme="minorHAnsi" w:hAnsiTheme="minorHAnsi"/>
              </w:rPr>
            </w:pPr>
            <w:r w:rsidRPr="00041262">
              <w:rPr>
                <w:rFonts w:asciiTheme="minorHAnsi" w:hAnsiTheme="minorHAnsi"/>
                <w:sz w:val="20"/>
                <w:szCs w:val="20"/>
              </w:rPr>
              <w:t xml:space="preserve">Travel required: 2 days in each of the following PMNP Municipalities: (1) Gainza, Camarines Sur; (2) </w:t>
            </w:r>
            <w:proofErr w:type="spellStart"/>
            <w:r w:rsidRPr="00041262">
              <w:rPr>
                <w:rFonts w:asciiTheme="minorHAnsi" w:hAnsiTheme="minorHAnsi"/>
                <w:sz w:val="20"/>
                <w:szCs w:val="20"/>
              </w:rPr>
              <w:t>Badiangan</w:t>
            </w:r>
            <w:proofErr w:type="spellEnd"/>
            <w:r w:rsidRPr="00041262">
              <w:rPr>
                <w:rFonts w:asciiTheme="minorHAnsi" w:hAnsiTheme="minorHAnsi"/>
                <w:sz w:val="20"/>
                <w:szCs w:val="20"/>
              </w:rPr>
              <w:t xml:space="preserve">, Iloilo; and (3) </w:t>
            </w:r>
            <w:proofErr w:type="spellStart"/>
            <w:r w:rsidRPr="00041262">
              <w:rPr>
                <w:rFonts w:asciiTheme="minorHAnsi" w:hAnsiTheme="minorHAnsi"/>
                <w:sz w:val="20"/>
                <w:szCs w:val="20"/>
              </w:rPr>
              <w:t>Talakag</w:t>
            </w:r>
            <w:proofErr w:type="spellEnd"/>
            <w:r w:rsidRPr="00041262">
              <w:rPr>
                <w:rFonts w:asciiTheme="minorHAnsi" w:hAnsiTheme="minorHAnsi"/>
                <w:sz w:val="20"/>
                <w:szCs w:val="20"/>
              </w:rPr>
              <w:t xml:space="preserve">, Bukidnon </w:t>
            </w:r>
          </w:p>
          <w:p w14:paraId="4800EF90" w14:textId="23701E70" w:rsidR="00CA1D34" w:rsidRPr="009B3299" w:rsidRDefault="00CA1D34" w:rsidP="00CA1D34">
            <w:pPr>
              <w:spacing w:line="240" w:lineRule="auto"/>
              <w:rPr>
                <w:rFonts w:asciiTheme="minorHAnsi" w:hAnsiTheme="minorHAnsi"/>
              </w:rPr>
            </w:pPr>
          </w:p>
        </w:tc>
        <w:tc>
          <w:tcPr>
            <w:tcW w:w="108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31"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70"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302E3A"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935D3F">
        <w:trPr>
          <w:gridAfter w:val="1"/>
          <w:wAfter w:w="16" w:type="dxa"/>
        </w:trPr>
        <w:tc>
          <w:tcPr>
            <w:tcW w:w="630" w:type="dxa"/>
          </w:tcPr>
          <w:p w14:paraId="1634EAD6" w14:textId="43C7A59F"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2070" w:type="dxa"/>
          </w:tcPr>
          <w:p w14:paraId="0721CCC4" w14:textId="7F89F35B"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A614E1" w:rsidRPr="00A614E1">
              <w:rPr>
                <w:rFonts w:asciiTheme="minorHAnsi" w:hAnsiTheme="minorHAnsi"/>
              </w:rPr>
              <w:t>PBG Policy Note synthesizing the key findings, policy implications, and recommendations for the continued use and institutionalization of the PBG mechanism.</w:t>
            </w:r>
          </w:p>
        </w:tc>
        <w:tc>
          <w:tcPr>
            <w:tcW w:w="1260" w:type="dxa"/>
          </w:tcPr>
          <w:p w14:paraId="36B93772" w14:textId="22B2AEE9" w:rsidR="00D33290" w:rsidRPr="00A24193" w:rsidRDefault="00A614E1" w:rsidP="33D21A28">
            <w:pPr>
              <w:spacing w:line="240" w:lineRule="auto"/>
              <w:rPr>
                <w:rFonts w:asciiTheme="minorHAnsi" w:hAnsiTheme="minorHAnsi"/>
              </w:rPr>
            </w:pPr>
            <w:r>
              <w:rPr>
                <w:rFonts w:asciiTheme="minorHAnsi" w:hAnsiTheme="minorHAnsi"/>
              </w:rPr>
              <w:t>26/02/2027</w:t>
            </w:r>
          </w:p>
        </w:tc>
        <w:tc>
          <w:tcPr>
            <w:tcW w:w="1530"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302E3A" w:rsidP="00D33290">
                <w:pPr>
                  <w:spacing w:line="240" w:lineRule="auto"/>
                  <w:rPr>
                    <w:rFonts w:asciiTheme="minorHAnsi" w:hAnsiTheme="minorHAnsi"/>
                  </w:rPr>
                </w:pPr>
              </w:p>
            </w:sdtContent>
          </w:sdt>
        </w:tc>
        <w:tc>
          <w:tcPr>
            <w:tcW w:w="1080"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31"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70" w:type="dxa"/>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302E3A"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935D3F">
        <w:trPr>
          <w:gridAfter w:val="1"/>
          <w:wAfter w:w="16" w:type="dxa"/>
        </w:trPr>
        <w:tc>
          <w:tcPr>
            <w:tcW w:w="630" w:type="dxa"/>
          </w:tcPr>
          <w:p w14:paraId="17A37C04" w14:textId="3BECF65D" w:rsidR="00BA0A69" w:rsidRPr="0024564A" w:rsidRDefault="00BA0A69" w:rsidP="00BA0A69">
            <w:pPr>
              <w:spacing w:line="240" w:lineRule="auto"/>
              <w:jc w:val="center"/>
              <w:rPr>
                <w:rFonts w:asciiTheme="minorHAnsi" w:hAnsiTheme="minorHAnsi" w:cstheme="minorBidi"/>
              </w:rPr>
            </w:pPr>
          </w:p>
        </w:tc>
        <w:tc>
          <w:tcPr>
            <w:tcW w:w="2070" w:type="dxa"/>
          </w:tcPr>
          <w:p w14:paraId="2FCDA1C5" w14:textId="5D6118F1" w:rsidR="00BA0A69" w:rsidRPr="00A24193" w:rsidRDefault="00BA0A69" w:rsidP="33D21A28">
            <w:pPr>
              <w:spacing w:line="240" w:lineRule="auto"/>
              <w:rPr>
                <w:rFonts w:asciiTheme="minorHAnsi" w:hAnsiTheme="minorHAnsi"/>
              </w:rPr>
            </w:pPr>
          </w:p>
        </w:tc>
        <w:tc>
          <w:tcPr>
            <w:tcW w:w="1260" w:type="dxa"/>
          </w:tcPr>
          <w:p w14:paraId="7EC3D236" w14:textId="593A416F" w:rsidR="00BA0A69" w:rsidRPr="00A24193" w:rsidRDefault="00BA0A69" w:rsidP="33D21A28">
            <w:pPr>
              <w:spacing w:line="240" w:lineRule="auto"/>
              <w:rPr>
                <w:rFonts w:asciiTheme="minorHAnsi" w:hAnsiTheme="minorHAnsi"/>
              </w:rPr>
            </w:pPr>
          </w:p>
        </w:tc>
        <w:tc>
          <w:tcPr>
            <w:tcW w:w="1530"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08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31"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70"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302E3A"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00935D3F">
        <w:trPr>
          <w:trHeight w:val="350"/>
        </w:trPr>
        <w:tc>
          <w:tcPr>
            <w:tcW w:w="63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78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315"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986"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0AA1162F" w:rsidR="001A4483" w:rsidRPr="009E2E50" w:rsidRDefault="006246F0" w:rsidP="009E2E5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sectPr w:rsidR="001A4483" w:rsidRPr="009E2E50" w:rsidSect="006246F0">
      <w:headerReference w:type="even" r:id="rId12"/>
      <w:headerReference w:type="default" r:id="rId13"/>
      <w:footerReference w:type="default" r:id="rId14"/>
      <w:headerReference w:type="first" r:id="rId15"/>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05795" w14:textId="77777777" w:rsidR="00302E3A" w:rsidRDefault="00302E3A">
      <w:pPr>
        <w:spacing w:line="240" w:lineRule="auto"/>
      </w:pPr>
      <w:r>
        <w:separator/>
      </w:r>
    </w:p>
  </w:endnote>
  <w:endnote w:type="continuationSeparator" w:id="0">
    <w:p w14:paraId="621DA2BB" w14:textId="77777777" w:rsidR="00302E3A" w:rsidRDefault="00302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BC9E8" w14:textId="77777777" w:rsidR="00302E3A" w:rsidRDefault="00302E3A">
      <w:pPr>
        <w:spacing w:line="240" w:lineRule="auto"/>
      </w:pPr>
      <w:r>
        <w:separator/>
      </w:r>
    </w:p>
  </w:footnote>
  <w:footnote w:type="continuationSeparator" w:id="0">
    <w:p w14:paraId="395E7D23" w14:textId="77777777" w:rsidR="00302E3A" w:rsidRDefault="00302E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55BC137" id="_x0000_t202" coordsize="21600,21600" o:spt="202" path="m,l,21600r21600,l21600,xe">
              <v:stroke joinstyle="miter"/>
              <v:path gradientshapeok="t" o:connecttype="rect"/>
            </v:shapetype>
            <v:shape id="Text Box 3" o:spid="_x0000_s1027" type="#_x0000_t202" alt="UNICEF - Internal use only"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filled="f" stroked="f">
              <v:textbox style="mso-fit-shape-to-text:t" inset="0,0,0,0">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3A15B" id="_x0000_s1028"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DB066A"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126445125" name="Picture 112644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9" type="#_x0000_t202" alt="UNICEF - Internal use only"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1262"/>
    <w:rsid w:val="00044FFB"/>
    <w:rsid w:val="000467B1"/>
    <w:rsid w:val="0005110F"/>
    <w:rsid w:val="000D239B"/>
    <w:rsid w:val="000D6EAF"/>
    <w:rsid w:val="000E6039"/>
    <w:rsid w:val="00106065"/>
    <w:rsid w:val="00150B0F"/>
    <w:rsid w:val="00184678"/>
    <w:rsid w:val="001A4483"/>
    <w:rsid w:val="001C57F3"/>
    <w:rsid w:val="001D632C"/>
    <w:rsid w:val="002A1177"/>
    <w:rsid w:val="002F0731"/>
    <w:rsid w:val="002F2FEB"/>
    <w:rsid w:val="003001E0"/>
    <w:rsid w:val="00300450"/>
    <w:rsid w:val="00302E3A"/>
    <w:rsid w:val="00310CF8"/>
    <w:rsid w:val="0031698A"/>
    <w:rsid w:val="003251CD"/>
    <w:rsid w:val="0033101F"/>
    <w:rsid w:val="00392B2E"/>
    <w:rsid w:val="003B31AB"/>
    <w:rsid w:val="003B3642"/>
    <w:rsid w:val="004806C9"/>
    <w:rsid w:val="004843B1"/>
    <w:rsid w:val="00496357"/>
    <w:rsid w:val="004A7AED"/>
    <w:rsid w:val="004B2FF9"/>
    <w:rsid w:val="004D26A2"/>
    <w:rsid w:val="004D3B1E"/>
    <w:rsid w:val="004E60E3"/>
    <w:rsid w:val="004F0A3B"/>
    <w:rsid w:val="004F3476"/>
    <w:rsid w:val="0051788F"/>
    <w:rsid w:val="00517EE2"/>
    <w:rsid w:val="00536EAE"/>
    <w:rsid w:val="00555590"/>
    <w:rsid w:val="00561752"/>
    <w:rsid w:val="00564D63"/>
    <w:rsid w:val="00583EBB"/>
    <w:rsid w:val="005E4537"/>
    <w:rsid w:val="005F397D"/>
    <w:rsid w:val="00600CB0"/>
    <w:rsid w:val="00606089"/>
    <w:rsid w:val="00620F29"/>
    <w:rsid w:val="0062179F"/>
    <w:rsid w:val="006246F0"/>
    <w:rsid w:val="00645111"/>
    <w:rsid w:val="00681119"/>
    <w:rsid w:val="00684422"/>
    <w:rsid w:val="006B0AEE"/>
    <w:rsid w:val="006C6950"/>
    <w:rsid w:val="006D6AF9"/>
    <w:rsid w:val="006D7AE0"/>
    <w:rsid w:val="006E4403"/>
    <w:rsid w:val="00704E19"/>
    <w:rsid w:val="00706326"/>
    <w:rsid w:val="007120AB"/>
    <w:rsid w:val="007248E6"/>
    <w:rsid w:val="00750131"/>
    <w:rsid w:val="00773304"/>
    <w:rsid w:val="007801ED"/>
    <w:rsid w:val="0078688F"/>
    <w:rsid w:val="007A511E"/>
    <w:rsid w:val="00813F94"/>
    <w:rsid w:val="00815365"/>
    <w:rsid w:val="008831DC"/>
    <w:rsid w:val="00890F97"/>
    <w:rsid w:val="009037DA"/>
    <w:rsid w:val="0090627B"/>
    <w:rsid w:val="00920742"/>
    <w:rsid w:val="00935D3F"/>
    <w:rsid w:val="0094576F"/>
    <w:rsid w:val="00946E46"/>
    <w:rsid w:val="00971986"/>
    <w:rsid w:val="00997980"/>
    <w:rsid w:val="009A2057"/>
    <w:rsid w:val="009A74C0"/>
    <w:rsid w:val="009E2E50"/>
    <w:rsid w:val="009F0A74"/>
    <w:rsid w:val="009F3EB4"/>
    <w:rsid w:val="00A10CCE"/>
    <w:rsid w:val="00A22CFB"/>
    <w:rsid w:val="00A24193"/>
    <w:rsid w:val="00A33297"/>
    <w:rsid w:val="00A614E1"/>
    <w:rsid w:val="00A67E4F"/>
    <w:rsid w:val="00A6CF9F"/>
    <w:rsid w:val="00A82826"/>
    <w:rsid w:val="00AB1EAF"/>
    <w:rsid w:val="00AB658D"/>
    <w:rsid w:val="00AC3B75"/>
    <w:rsid w:val="00B04804"/>
    <w:rsid w:val="00B56071"/>
    <w:rsid w:val="00B94D1D"/>
    <w:rsid w:val="00BA0A69"/>
    <w:rsid w:val="00BF5375"/>
    <w:rsid w:val="00C1015A"/>
    <w:rsid w:val="00C65AED"/>
    <w:rsid w:val="00C72E17"/>
    <w:rsid w:val="00C92E60"/>
    <w:rsid w:val="00C975E5"/>
    <w:rsid w:val="00CA0F29"/>
    <w:rsid w:val="00CA1D34"/>
    <w:rsid w:val="00CE45CE"/>
    <w:rsid w:val="00CF6B41"/>
    <w:rsid w:val="00D01BBD"/>
    <w:rsid w:val="00D06964"/>
    <w:rsid w:val="00D12E8E"/>
    <w:rsid w:val="00D33290"/>
    <w:rsid w:val="00D926C7"/>
    <w:rsid w:val="00D92857"/>
    <w:rsid w:val="00DE48B2"/>
    <w:rsid w:val="00DE4ECC"/>
    <w:rsid w:val="00E31C26"/>
    <w:rsid w:val="00E71F92"/>
    <w:rsid w:val="00E72D1E"/>
    <w:rsid w:val="00EA2266"/>
    <w:rsid w:val="00EC18F1"/>
    <w:rsid w:val="00F074DA"/>
    <w:rsid w:val="00F1701C"/>
    <w:rsid w:val="00F604D4"/>
    <w:rsid w:val="00F83B88"/>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A82826"/>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1A2B98"/>
    <w:rsid w:val="002F2FEB"/>
    <w:rsid w:val="0033101F"/>
    <w:rsid w:val="00392B2E"/>
    <w:rsid w:val="0042406A"/>
    <w:rsid w:val="00496357"/>
    <w:rsid w:val="004B2FF9"/>
    <w:rsid w:val="00536EAE"/>
    <w:rsid w:val="00543A46"/>
    <w:rsid w:val="00576DFE"/>
    <w:rsid w:val="005B4E17"/>
    <w:rsid w:val="005D6514"/>
    <w:rsid w:val="005E4537"/>
    <w:rsid w:val="0062179F"/>
    <w:rsid w:val="007C7667"/>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31C26"/>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5.xml><?xml version="1.0" encoding="utf-8"?>
<ds:datastoreItem xmlns:ds="http://schemas.openxmlformats.org/officeDocument/2006/customXml" ds:itemID="{161BF52A-2291-4621-965F-19E79E24AA84}">
  <ds:schemaRefs>
    <ds:schemaRef ds:uri="http://schemas.openxmlformats.org/officeDocument/2006/bibliography"/>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508</Words>
  <Characters>2897</Characters>
  <Application>Microsoft Office Word</Application>
  <DocSecurity>0</DocSecurity>
  <Lines>24</Lines>
  <Paragraphs>6</Paragraphs>
  <ScaleCrop>false</ScaleCrop>
  <Company>UNICEF</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Jolan Csirene Kosztovics</cp:lastModifiedBy>
  <cp:revision>24</cp:revision>
  <dcterms:created xsi:type="dcterms:W3CDTF">2026-10-28T12:08:00Z</dcterms:created>
  <dcterms:modified xsi:type="dcterms:W3CDTF">2026-10-28T13:24:00Z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