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FF"/>
          <w:lang w:val="en-GB" w:eastAsia="en-GB" w:bidi="en-GB"/>
        </w:rPr>
      </w:pPr>
      <w:r>
        <w:drawing>
          <wp:anchor distT="0" distB="0" distL="114300" distR="114300" simplePos="0" relativeHeight="251659263" behindDoc="1" locked="0" layoutInCell="1" hidden="0" allowOverlap="1">
            <wp:simplePos x="0" y="0"/>
            <wp:positionH relativeFrom="column">
              <wp:posOffset>-524510</wp:posOffset>
            </wp:positionH>
            <wp:positionV relativeFrom="paragraph">
              <wp:posOffset>0</wp:posOffset>
            </wp:positionV>
            <wp:extent cx="7086600" cy="2338705"/>
            <wp:wrapNone/>
            <wp:docPr id="1" name="Picture 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086600" cy="2338705"/>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8"/>
          <w:szCs w:val="28"/>
          <w:u w:val="non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b/>
          <w:bCs/>
          <w:lang w:val="en-GB" w:eastAsia="en-GB" w:bidi="en-GB"/>
        </w:rPr>
        <w:t xml:space="preserve">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b/>
          <w:bCs/>
          <w:lang w:val="en-GB" w:eastAsia="en-GB" w:bidi="en-GB"/>
        </w:rPr>
        <w:t xml:space="preserve">Faculty/Service:	Education and Academic Services - Wellbeing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b/>
          <w:bCs/>
          <w:lang w:val="en-GB" w:eastAsia="en-GB" w:bidi="en-GB"/>
        </w:rPr>
        <w:t xml:space="preserve">Post:			Welfare Consultant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i/>
          <w:iCs/>
          <w:color w:val="008000"/>
          <w:lang w:val="en-GB" w:eastAsia="en-GB" w:bidi="en-GB"/>
        </w:rPr>
      </w:pPr>
      <w:r>
        <w:rPr>
          <w:b/>
          <w:bCs/>
          <w:lang w:val="en-GB" w:eastAsia="en-GB" w:bidi="en-GB"/>
        </w:rPr>
        <w:t xml:space="preserve">Reference:		ID 2173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b/>
          <w:bCs/>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b/>
          <w:bCs/>
          <w:lang w:val="en-GB" w:eastAsia="en-GB" w:bidi="en-GB"/>
        </w:rPr>
        <w:t xml:space="preserve">Reporting To:		Welfare Pathway Lead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b/>
          <w:bCs/>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lang w:val="en-GB" w:eastAsia="en-GB" w:bidi="en-GB"/>
        </w:rPr>
        <w:t xml:space="preserve">This post forms part of the University’s Welfare service for students within the Wellbeing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u w:val="single"/>
          <w:lang w:val="en-GB" w:eastAsia="en-GB" w:bidi="en-GB"/>
        </w:rPr>
      </w:pPr>
      <w:r>
        <w:rPr>
          <w:b/>
          <w:bCs/>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lang w:val="en-GB" w:eastAsia="en-GB" w:bidi="en-GB"/>
        </w:rPr>
        <w:t xml:space="preserve">To work as a member of a team offering support to students experiencing mental health, psychological and wellbeing difficulties.  This will include a wide range of approaches and interventions including psychological assessment, advice and information and applied psycho-social interventions, health promotion and illness prevention services.  The post holder will also be expected to assess students’ need in line with current legislation and assist the university to embrace its responsibilities with regard to reasonable adjustments for students with mental health/welfare-related difficulties. Liaison with university and external staff (e.g. health, mental health and other statutory or voluntary sector agencies) will also be required to ensure excellent support for students with acute mental health and/or wellbeing needs.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br w:type="textWrapping"/>
      </w:r>
      <w:r>
        <w:rPr>
          <w:b/>
          <w:bCs/>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provide specialist support, counselling and other interventions to meet the wellbeing needs of University of Exeter students. This may involve face to face delivery, remote services and web provision.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b/>
          <w:bCs/>
          <w:i/>
          <w:iCs/>
          <w:color w:val="008000"/>
          <w:lang w:val="en-GB" w:eastAsia="en-GB" w:bidi="en-GB"/>
        </w:rPr>
      </w:pPr>
      <w:r>
        <w:rPr>
          <w:lang w:val="en-GB" w:eastAsia="en-GB" w:bidi="en-GB"/>
        </w:rPr>
        <w:t xml:space="preserve">Provision may include:</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firstLine="660"/>
        <w:jc w:val="both"/>
        <w:rPr>
          <w:lang w:val="en-GB" w:eastAsia="en-GB" w:bidi="en-GB"/>
        </w:rPr>
      </w:pPr>
    </w:p>
    <w:p>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jc w:val="both"/>
        <w:rPr>
          <w:lang w:val="en-GB" w:eastAsia="en-GB" w:bidi="en-GB"/>
        </w:rPr>
      </w:pPr>
      <w:r>
        <w:rPr>
          <w:lang w:val="en-GB" w:eastAsia="en-GB" w:bidi="en-GB"/>
        </w:rPr>
        <w:t xml:space="preserve">Psychosocial interventions</w:t>
      </w:r>
    </w:p>
    <w:p>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jc w:val="both"/>
        <w:rPr>
          <w:lang w:val="en-GB" w:eastAsia="en-GB" w:bidi="en-GB"/>
        </w:rPr>
      </w:pPr>
      <w:r>
        <w:rPr>
          <w:lang w:val="en-GB" w:eastAsia="en-GB" w:bidi="en-GB"/>
        </w:rPr>
        <w:t xml:space="preserve">Wellbeing Triage and assessment </w:t>
      </w:r>
    </w:p>
    <w:p>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jc w:val="both"/>
        <w:rPr>
          <w:lang w:val="en-GB" w:eastAsia="en-GB" w:bidi="en-GB"/>
        </w:rPr>
      </w:pPr>
      <w:r>
        <w:rPr>
          <w:lang w:val="en-GB" w:eastAsia="en-GB" w:bidi="en-GB"/>
        </w:rPr>
        <w:t xml:space="preserve">Mental health advice and support </w:t>
      </w:r>
    </w:p>
    <w:p>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jc w:val="both"/>
        <w:rPr>
          <w:lang w:val="en-GB" w:eastAsia="en-GB" w:bidi="en-GB"/>
        </w:rPr>
      </w:pPr>
      <w:r>
        <w:rPr>
          <w:lang w:val="en-GB" w:eastAsia="en-GB" w:bidi="en-GB"/>
        </w:rPr>
        <w:t xml:space="preserve">Case management and co-ordination</w:t>
      </w:r>
    </w:p>
    <w:p>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jc w:val="both"/>
        <w:rPr>
          <w:lang w:val="en-GB" w:eastAsia="en-GB" w:bidi="en-GB"/>
        </w:rPr>
      </w:pPr>
      <w:r>
        <w:rPr>
          <w:lang w:val="en-GB" w:eastAsia="en-GB" w:bidi="en-GB"/>
        </w:rPr>
        <w:t xml:space="preserve">Advising on the provision of reasonable adjustments and supporting students in accord with the requirements of current legislative frameworks (e.g Equality Act 2010) </w:t>
      </w:r>
    </w:p>
    <w:p>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jc w:val="both"/>
        <w:rPr>
          <w:lang w:val="en-GB" w:eastAsia="en-GB" w:bidi="en-GB"/>
        </w:rPr>
      </w:pPr>
      <w:r>
        <w:rPr>
          <w:lang w:val="en-GB" w:eastAsia="en-GB" w:bidi="en-GB"/>
        </w:rPr>
        <w:t xml:space="preserve">Overseeing the provision of support to students in crisis/at risk of suicide or self-harm.</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Staff offering applied psycho-social interventions must be appropriately trained, qualified and supervised, in accord with standards agreed by the university and in line with the relevant Professional Bodies.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color w:val="000000"/>
          <w:lang w:val="en-GB" w:eastAsia="en-GB" w:bidi="en-GB"/>
        </w:rPr>
        <w:t xml:space="preserve">To represent the Wellbeing Service in relevant university networks and professional organisations (e.g. BACP/AUCC/UMHAN/NADP) to ensure that Wellbeing Services maintains awareness and links with a broad range of universities, services and issues. </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provide a proactive response to urgent wellbeing needs</w:t>
      </w:r>
      <w:r>
        <w:rPr>
          <w:b/>
          <w:bCs/>
          <w:i/>
          <w:iCs/>
          <w:color w:val="008000"/>
          <w:lang w:val="en-GB" w:eastAsia="en-GB" w:bidi="en-GB"/>
        </w:rPr>
        <w:t xml:space="preserve">,</w:t>
      </w:r>
      <w:r>
        <w:rPr>
          <w:lang w:val="en-GB" w:eastAsia="en-GB" w:bidi="en-GB"/>
        </w:rPr>
        <w:t xml:space="preserve"> critical incidents and mental health crises.  This may include assessing and managing students at risk, advising and supporting university staff to ensure an appropriate institutional response, and liaison with the external agencies that hold responsibility for crisis management.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Network with specialist agencies (ie, University Community Mental Health Team, drug and alcohol services,  city –based community services/churches/third sector service providers, Police, bereavement support services) to embed provision within the university and carry out joint risk assessments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work as an independent professional practitioner and carry an active caseload of students, including those with complex needs.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Using advanced practice management skills, to assess, manage and intervene therapeutically including on -going episodes of crisis, operating with skilled, evidence-based interventions.  </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provide consultation, advice and guidance to university staff who support students with mental health and/or wellbeing difficulties, ensuring that students are assisted appropriately and within the requirements of the relevant legislative frameworks (e.g. Equality Act 2010).  To contribute specialist advice in the development of university policy and procedure, and to implement appropriate guidance where relevant - e.g. Support to Study Procedure, Fitness to Practice etc.</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contribute to and take a lead role in the development and implementation of relevant service policy and procedure (e.g. pre-liminary risk assessment, core model of delivery, evaluation).</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take a lead role in the development of service safeguarding and sexual assault protocols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Advancing service practice in specialist areas of delivery, e.g provision for care leavers and young carers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Collecting and using data to identify areas for improvement, and initiate/take part in project work to develop best practice in these areas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ensure good record-keeping practices are upheld in line with service, departmental and professional requirements.  To provide reports as necessary and in accord with service protocols.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embrace the university’s commitment to health promotion and to contribute to the development of a range of mental health and wellbeing events and activities.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contribute to the development of illness prevention services including web based self-diagnostic, self-help/symptom reduction services.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develop and deliver training sessions and information for academic and support staff as required. </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act in a consultancy and liaison role as appropriate.</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participate in, and take forward, service audit and evaluation procedures.</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participate in service promotion activities, including (but not limited to) Post-Offer Open Days and Welcome Week Information Fairs. </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make an active contribution to the work of Student Support Services, working collaboratively towards the shared goals of the department/Service.</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be a good team player, who supports and contributes to the morale and development of the team.</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undertake appropriate training and supervision in order to maintain professional registration and/or accreditation</w:t>
      </w:r>
      <w:r>
        <w:rPr>
          <w:b/>
          <w:bCs/>
          <w:i/>
          <w:iCs/>
          <w:color w:val="008000"/>
          <w:lang w:val="en-GB" w:eastAsia="en-GB" w:bidi="en-GB"/>
        </w:rPr>
        <w:t xml:space="preserve"> </w:t>
      </w:r>
      <w:r>
        <w:rPr>
          <w:lang w:val="en-GB" w:eastAsia="en-GB" w:bidi="en-GB"/>
        </w:rPr>
        <w:t xml:space="preserve">as required by the University </w:t>
      </w: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color w:val="000000"/>
          <w:lang w:val="en-GB" w:eastAsia="en-GB" w:bidi="en-GB"/>
        </w:rPr>
        <w:t xml:space="preserve">To have the opportunity to volunteer with out-of-hours advice and support and to receive appropriate remuneration.</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engage in research and scholarly activity as appropriate to the needs of the service</w:t>
      </w:r>
    </w:p>
    <w:p>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To undertake any other duties that fall within the scope of the post, following discussion with the line manager..</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lang w:val="en-GB" w:eastAsia="en-GB" w:bidi="en-GB"/>
        </w:rPr>
        <w:t xml:space="preserve">This job description summarises the main duties and accountabilities of the post and is not comprehensive: the post</w:t>
      </w:r>
      <w:r>
        <w:rPr>
          <w:b/>
          <w:bCs/>
          <w:lang w:val="en-GB" w:eastAsia="en-GB" w:bidi="en-GB"/>
        </w:rPr>
        <w:t xml:space="preserve">-</w:t>
      </w:r>
      <w:r>
        <w:rPr>
          <w:lang w:val="en-GB" w:eastAsia="en-GB" w:bidi="en-GB"/>
        </w:rPr>
        <w:t xml:space="preserve">holder may be required to undertake other duties of similar level and responsibility.</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val="off"/>
          <w:bCs w:val="off"/>
          <w:u w:val="none"/>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60"/>
        <w:gridCol w:w="4253"/>
        <w:gridCol w:w="2942"/>
      </w:tblGrid>
      <w:tr>
        <w:tc>
          <w:tcPr>
            <w:tcW w:w="266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b/>
                <w:bCs/>
                <w:lang w:val="en-GB" w:eastAsia="en-GB" w:bidi="en-GB"/>
              </w:rPr>
              <w:t xml:space="preserve">Competency</w:t>
            </w:r>
          </w:p>
        </w:tc>
        <w:tc>
          <w:tcPr>
            <w:tcW w:w="42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b/>
                <w:bCs/>
                <w:lang w:val="en-GB" w:eastAsia="en-GB" w:bidi="en-GB"/>
              </w:rPr>
              <w:t xml:space="preserve">Essential</w:t>
            </w:r>
          </w:p>
        </w:tc>
        <w:tc>
          <w:tcPr>
            <w:tcW w:w="29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b/>
                <w:bCs/>
                <w:lang w:val="en-GB" w:eastAsia="en-GB" w:bidi="en-GB"/>
              </w:rPr>
              <w:t xml:space="preserve">Desirable</w:t>
            </w:r>
          </w:p>
        </w:tc>
      </w:tr>
      <w:tr>
        <w:tc>
          <w:tcPr>
            <w:tcW w:w="2660"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p>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r>
              <w:rPr>
                <w:rFonts w:ascii="Arial" w:hAnsi="Arial" w:eastAsia="Arial" w:cs="Arial"/>
                <w:sz w:val="21"/>
                <w:szCs w:val="21"/>
                <w:lang w:val="en-GB" w:eastAsia="en-GB" w:bidi="en-GB"/>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tc>
        <w:tc>
          <w:tcPr>
            <w:tcW w:w="42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First Degree or equivalent.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Core professional training in an area of professional practice (e.g. counselling,</w:t>
            </w:r>
            <w:r>
              <w:rPr>
                <w:b/>
                <w:bCs/>
                <w:i/>
                <w:iCs/>
                <w:color w:val="008000"/>
                <w:lang w:val="en-GB" w:eastAsia="en-GB" w:bidi="en-GB"/>
              </w:rPr>
              <w:t xml:space="preserve"> </w:t>
            </w:r>
            <w:r>
              <w:rPr>
                <w:lang w:val="en-GB" w:eastAsia="en-GB" w:bidi="en-GB"/>
              </w:rPr>
              <w:t xml:space="preserve">psychology, occupational therapy, mental health nursing, social work – or equivalent) or equivalent experience.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Advanced training in applied psycho-social interventions (e.g. crisis management, solution-focused therapy, management of eating disorders, group work)</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Commitment to continuing professional development.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lang w:val="en-GB" w:eastAsia="en-GB" w:bidi="en-GB"/>
              </w:rPr>
            </w:pPr>
          </w:p>
        </w:tc>
        <w:tc>
          <w:tcPr>
            <w:tcW w:w="29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Ideally, a minimum of three years’ post qualifying, relevant counselling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tc>
      </w:tr>
      <w:tr>
        <w:tc>
          <w:tcPr>
            <w:tcW w:w="2660"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p>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r>
              <w:rPr>
                <w:rFonts w:ascii="Arial" w:hAnsi="Arial" w:eastAsia="Arial" w:cs="Arial"/>
                <w:sz w:val="21"/>
                <w:szCs w:val="21"/>
                <w:lang w:val="en-GB" w:eastAsia="en-GB" w:bidi="en-GB"/>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tc>
        <w:tc>
          <w:tcPr>
            <w:tcW w:w="42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Understanding of, and commitment to, confidentiality in an HE context.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lang w:val="en-GB" w:eastAsia="en-GB" w:bidi="en-GB"/>
              </w:rPr>
            </w:pPr>
            <w:r>
              <w:rPr>
                <w:lang w:val="en-GB" w:eastAsia="en-GB" w:bidi="en-GB"/>
              </w:rPr>
              <w:t xml:space="preserve">IT skills, including use of Microsoft Office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Capacity to build strong professional relationships within a diverse university community.</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Strong and effective communication and negotiation skills.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Good at influencing others and establishing effective professional networks.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Understanding of medical/psychological reports and information.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b/>
                <w:bCs/>
                <w:i/>
                <w:iCs/>
                <w:lang w:val="en-GB" w:eastAsia="en-GB" w:bidi="en-GB"/>
              </w:rPr>
            </w:pPr>
            <w:r>
              <w:rPr>
                <w:lang w:val="en-GB" w:eastAsia="en-GB" w:bidi="en-GB"/>
              </w:rPr>
              <w:t xml:space="preserve">Ability to set and keep </w:t>
            </w:r>
            <w:r>
              <w:rPr>
                <w:b/>
                <w:bCs/>
                <w:i/>
                <w:iCs/>
                <w:lang w:val="en-GB" w:eastAsia="en-GB" w:bidi="en-GB"/>
              </w:rPr>
              <w:t xml:space="preserve">appropriate </w:t>
            </w:r>
            <w:r>
              <w:rPr>
                <w:lang w:val="en-GB" w:eastAsia="en-GB" w:bidi="en-GB"/>
              </w:rPr>
              <w:t xml:space="preserve">boundaries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capacity to negotiate and manage  ethical  dilemmas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Ability to maintain up-to-date and accurate records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Independent problem-solving skills.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Good communication skills with external mental health professions (e.g. clinicians in psychiatry, psychology, mental health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tc>
        <w:tc>
          <w:tcPr>
            <w:tcW w:w="29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Skills and experience in training and consultancy.</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Skills in the development and delivery of web-based information and advice.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Skills and experience in health promotion and illness prevention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Skills and experience in mentoring and/or supervising staff - including trainees on placement, locums, support staff and bank workers.</w:t>
            </w:r>
          </w:p>
        </w:tc>
      </w:tr>
      <w:tr>
        <w:tc>
          <w:tcPr>
            <w:tcW w:w="2660"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p>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r>
              <w:rPr>
                <w:rFonts w:ascii="Arial" w:hAnsi="Arial" w:eastAsia="Arial" w:cs="Arial"/>
                <w:sz w:val="21"/>
                <w:szCs w:val="21"/>
                <w:lang w:val="en-GB" w:eastAsia="en-GB" w:bidi="en-GB"/>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tc>
        <w:tc>
          <w:tcPr>
            <w:tcW w:w="42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Experience as a health and/or social care professional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 background in one area of expertise and willingness to engage</w:t>
            </w:r>
            <w:r>
              <w:rPr>
                <w:b/>
                <w:bCs/>
                <w:i/>
                <w:iCs/>
                <w:color w:val="008000"/>
                <w:lang w:val="en-GB" w:eastAsia="en-GB" w:bidi="en-GB"/>
              </w:rPr>
              <w:t xml:space="preserve"> </w:t>
            </w:r>
            <w:r>
              <w:rPr>
                <w:lang w:val="en-GB" w:eastAsia="en-GB" w:bidi="en-GB"/>
              </w:rPr>
              <w:t xml:space="preserve">in a broader range of interventions.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tc>
        <w:tc>
          <w:tcPr>
            <w:tcW w:w="29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Experience of preparing and delivering staff development and training.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Experience of practising in  an educational or  health-related environment.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tc>
      </w:tr>
      <w:tr>
        <w:tc>
          <w:tcPr>
            <w:tcW w:w="2660"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p>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r>
              <w:rPr>
                <w:rFonts w:ascii="Arial" w:hAnsi="Arial" w:eastAsia="Arial" w:cs="Arial"/>
                <w:sz w:val="21"/>
                <w:szCs w:val="21"/>
                <w:lang w:val="en-GB" w:eastAsia="en-GB" w:bidi="en-GB"/>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tc>
        <w:tc>
          <w:tcPr>
            <w:tcW w:w="42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Ability to work as an independent professional practitioner and able to make independent decisions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Excellent interpersonal skills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 willingness to be creative and flexible in developing Wellbeing Services.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Ability to use own judgment to make decisions.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Competence and confidence to work independently and to be a good team player.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tc>
        <w:tc>
          <w:tcPr>
            <w:tcW w:w="29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b/>
                <w:bCs/>
                <w:lang w:val="en-GB" w:eastAsia="en-GB" w:bidi="en-GB"/>
              </w:rPr>
            </w:pPr>
          </w:p>
        </w:tc>
      </w:tr>
      <w:tr>
        <w:tc>
          <w:tcPr>
            <w:tcW w:w="2660"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p>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1"/>
                <w:szCs w:val="21"/>
                <w:lang w:val="en-GB" w:eastAsia="en-GB" w:bidi="en-GB"/>
              </w:rPr>
            </w:pPr>
            <w:r>
              <w:rPr>
                <w:rFonts w:ascii="Arial" w:hAnsi="Arial" w:eastAsia="Arial" w:cs="Arial"/>
                <w:sz w:val="21"/>
                <w:szCs w:val="21"/>
                <w:lang w:val="en-GB" w:eastAsia="en-GB" w:bidi="en-GB"/>
              </w:rPr>
              <w:t xml:space="preserve">General and Special Knowledge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p>
        </w:tc>
        <w:tc>
          <w:tcPr>
            <w:tcW w:w="42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Knowledge of current professional developments in mental health practice and/or applied psycho-social interventions. </w:t>
            </w:r>
          </w:p>
        </w:tc>
        <w:tc>
          <w:tcPr>
            <w:tcW w:w="29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Knowledge of the relevant legislation and statutory obligations affecting students with mental health issues in HE.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An understanding of issues relating to  curriculum access for learners with mental health difficulties in HE.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lang w:val="en-GB" w:eastAsia="en-GB" w:bidi="en-GB"/>
              </w:rPr>
              <w:t xml:space="preserve">Current, clean driving licence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lang w:val="en-GB" w:eastAsia="en-GB" w:bidi="en-GB"/>
        </w:rPr>
      </w:pPr>
      <w:r>
        <w:rPr>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lang w:val="en-GB" w:eastAsia="en-GB" w:bidi="en-GB"/>
        </w:rPr>
        <w:t xml:space="preserve">Informal Enquiries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For further information and an informal discussion about the post, please contact Abby Sproats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Hyperlink"/>
          <w:lang w:val="en-GB" w:eastAsia="en-GB" w:bidi="en-GB"/>
        </w:rPr>
        <w:fldChar w:fldCharType="begin"/>
      </w:r>
      <w:r>
        <w:rPr>
          <w:rStyle w:val="Hyperlink"/>
          <w:lang w:val="en-GB" w:eastAsia="en-GB" w:bidi="en-GB"/>
        </w:rPr>
        <w:instrText xml:space="preserve"> HYPERLINK "mailto:a.m.sproats@exeter.ac.uk" </w:instrText>
      </w:r>
      <w:r>
        <w:rPr>
          <w:rStyle w:val="Hyperlink"/>
          <w:lang w:val="en-GB" w:eastAsia="en-GB" w:bidi="en-GB"/>
        </w:rPr>
        <w:fldChar w:fldCharType="separate"/>
      </w:r>
      <w:r>
        <w:rPr>
          <w:rStyle w:val="Hyperlink"/>
          <w:lang w:val="en-GB" w:eastAsia="en-GB" w:bidi="en-GB"/>
        </w:rPr>
        <w:t xml:space="preserve">a.m.sproats@exeter.ac.uk</w:t>
      </w:r>
      <w:r>
        <w:rPr>
          <w:lang w:val="en-GB" w:eastAsia="en-GB" w:bidi="en-GB"/>
        </w:rPr>
        <w:fldChar w:fldCharType="end"/>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i/>
          <w:iCs/>
          <w:lang w:val="en-GB" w:eastAsia="en-GB" w:bidi="en-GB"/>
        </w:rPr>
      </w:pPr>
      <w:r>
        <w:rPr>
          <w:b/>
          <w:bCs/>
          <w:lang w:val="en-GB" w:eastAsia="en-GB" w:bidi="en-GB"/>
        </w:rPr>
        <w:t xml:space="preserve">Terms &amp; Conditions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lang w:val="en-GB" w:eastAsia="en-GB" w:bidi="en-GB"/>
        </w:rPr>
        <w:t xml:space="preserve">Our Terms and Conditions of Employment can be viewed </w:t>
      </w:r>
      <w:r>
        <w:rPr>
          <w:rStyle w:val="Hyperlink"/>
          <w:lang w:val="en-GB" w:eastAsia="en-GB" w:bidi="en-GB"/>
        </w:rPr>
        <w:fldChar w:fldCharType="begin"/>
      </w:r>
      <w:r>
        <w:rPr>
          <w:rStyle w:val="Hyperlink"/>
          <w:lang w:val="en-GB" w:eastAsia="en-GB" w:bidi="en-GB"/>
        </w:rPr>
        <w:instrText xml:space="preserve"> HYPERLINK "http://www.exeter.ac.uk/staff/employment/conditions/terms/" </w:instrText>
      </w:r>
      <w:r>
        <w:rPr>
          <w:rStyle w:val="Hyperlink"/>
          <w:lang w:val="en-GB" w:eastAsia="en-GB" w:bidi="en-GB"/>
        </w:rPr>
        <w:fldChar w:fldCharType="separate"/>
      </w:r>
      <w:r>
        <w:rPr>
          <w:rStyle w:val="Hyperlink"/>
          <w:lang w:val="en-GB" w:eastAsia="en-GB" w:bidi="en-GB"/>
        </w:rPr>
        <w:t xml:space="preserve">here</w:t>
      </w:r>
      <w:r>
        <w:rPr>
          <w:lang w:val="en-GB" w:eastAsia="en-GB" w:bidi="en-GB"/>
        </w:rPr>
        <w:fldChar w:fldCharType="end"/>
      </w:r>
      <w:r>
        <w:rPr>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u w:val="single"/>
          <w:lang w:val="en-GB" w:eastAsia="en-GB" w:bidi="en-GB"/>
        </w:rPr>
      </w:pPr>
      <w:r>
        <w:rPr>
          <w:b/>
          <w:bCs/>
          <w:u w:val="single"/>
          <w:lang w:val="en-GB" w:eastAsia="en-GB" w:bidi="en-GB"/>
        </w:rPr>
        <w:t xml:space="preserve">Further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Please see our </w:t>
      </w:r>
      <w:r>
        <w:rPr>
          <w:rStyle w:val="Hyperlink"/>
          <w:lang w:val="en-GB" w:eastAsia="en-GB" w:bidi="en-GB"/>
        </w:rPr>
        <w:fldChar w:fldCharType="begin"/>
      </w:r>
      <w:r>
        <w:rPr>
          <w:rStyle w:val="Hyperlink"/>
          <w:lang w:val="en-GB" w:eastAsia="en-GB" w:bidi="en-GB"/>
        </w:rPr>
        <w:instrText xml:space="preserve"> HYPERLINK "http://www.exeter.ac.uk/working/prospective/" </w:instrText>
      </w:r>
      <w:r>
        <w:rPr>
          <w:rStyle w:val="Hyperlink"/>
          <w:lang w:val="en-GB" w:eastAsia="en-GB" w:bidi="en-GB"/>
        </w:rPr>
        <w:fldChar w:fldCharType="separate"/>
      </w:r>
      <w:r>
        <w:rPr>
          <w:rStyle w:val="Hyperlink"/>
          <w:lang w:val="en-GB" w:eastAsia="en-GB" w:bidi="en-GB"/>
        </w:rPr>
        <w:t xml:space="preserve">website</w:t>
      </w:r>
      <w:r>
        <w:rPr>
          <w:lang w:val="en-GB" w:eastAsia="en-GB" w:bidi="en-GB"/>
        </w:rPr>
        <w:fldChar w:fldCharType="end"/>
      </w:r>
      <w:r>
        <w:rPr>
          <w:lang w:val="en-GB" w:eastAsia="en-GB" w:bidi="en-GB"/>
        </w:rPr>
        <w:t xml:space="preserve"> for further information on working at the University of Exeter.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sectPr>
      <w:footerReference w:type="default" r:id="rId00007"/>
      <w:footerReference w:type="first" r:id="rId00008"/>
      <w:pgSz w:w="11907" w:h="16840"/>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Verdana">
    <w:panose1 w:val="020B0604030504040204"/>
    <w:charset w:val="00"/>
    <w:family w:val="swiss"/>
    <w:pitch w:val="variable"/>
    <w:sig w:usb0="A00006FF" w:usb1="4000205B" w:usb2="00000010" w:usb3="00000000" w:csb0="2000019F" w:csb1="00000000"/>
  </w:font>
  <w:font w:name="Cambria">
    <w:panose1 w:val="02040503050406030204"/>
    <w:charset w:val="00"/>
    <w:family w:val="roman"/>
    <w:pitch w:val="variable"/>
    <w:sig w:usb0="E00006FF" w:usb1="420024FF" w:usb2="02000000" w:usb3="00000000" w:csb0="2000019F" w:csb1="00000000"/>
  </w:font>
  <w:font w:name="Calibri">
    <w:panose1 w:val="020F0502020204030204"/>
    <w:charset w:val="00"/>
    <w:family w:val="swiss"/>
    <w:pitch w:val="variable"/>
    <w:sig w:usb0="E0002EFF" w:usb1="C000247B" w:usb2="00000009" w:usb3="00000000" w:csb0="200001F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 w:name="Courier New">
    <w:panose1 w:val="02070309020205020404"/>
    <w:charset w:val="00"/>
    <w:family w:val="modern"/>
    <w:pitch w:val="fixed"/>
    <w:sig w:usb0="E0002EFF" w:usb1="C0007843" w:usb2="00000009" w:usb3="00000000" w:csb0="400001FF" w:csb1="FFFF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clear" w:pos="8306"/>
        <w:tab w:val="right" w:pos="9639"/>
      </w:tabs>
      <w:rPr>
        <w:i/>
        <w:iCs/>
        <w:sz w:val="18"/>
        <w:szCs w:val="18"/>
        <w:lang w:val="en-GB" w:eastAsia="en-GB" w:bidi="en-GB"/>
      </w:rPr>
    </w:pPr>
    <w:r>
      <w:rPr>
        <w:i/>
        <w:iCs/>
        <w:sz w:val="18"/>
        <w:szCs w:val="18"/>
        <w:lang w:val="en-GB" w:eastAsia="en-GB" w:bidi="en-GB"/>
      </w:rPr>
      <w:t xml:space="preserve">	</w:t>
    </w:r>
  </w:p>
  <w:p>
    <w:pPr>
      <w:pStyle w:val="Footer"/>
      <w:tabs>
        <w:tab w:val="clear" w:pos="8306"/>
        <w:tab w:val="right" w:pos="9639"/>
      </w:tabs>
      <w:jc w:val="center"/>
      <w:rPr>
        <w:i/>
        <w:iCs/>
        <w:sz w:val="18"/>
        <w:szCs w:val="18"/>
        <w:lang w:val="en-US" w:eastAsia="en-US" w:bidi="en-US"/>
      </w:rPr>
    </w:pPr>
    <w:r>
      <w:rPr>
        <w:i/>
        <w:iCs/>
        <w:sz w:val="18"/>
        <w:szCs w:val="18"/>
        <w:lang w:val="en-US" w:eastAsia="en-US" w:bidi="en-US"/>
      </w:rPr>
      <w:t xml:space="preserve">Page </w:t>
    </w:r>
    <w:r>
      <w:rPr>
        <w:i/>
        <w:iCs/>
        <w:noProof/>
        <w:sz w:val="18"/>
        <w:szCs w:val="18"/>
        <w:lang w:val="en-US" w:eastAsia="en-US" w:bidi="en-US"/>
      </w:rPr>
      <w:fldChar w:fldCharType="begin"/>
    </w:r>
    <w:r>
      <w:rPr>
        <w:i/>
        <w:iCs/>
        <w:noProof/>
        <w:sz w:val="18"/>
        <w:szCs w:val="18"/>
        <w:lang w:val="en-US" w:eastAsia="en-US" w:bidi="en-US"/>
      </w:rPr>
      <w:instrText xml:space="preserve"> PAGE \* Arabic \* MERGEFORMAT </w:instrText>
    </w:r>
    <w:r>
      <w:rPr>
        <w:i/>
        <w:iCs/>
        <w:noProof/>
        <w:sz w:val="18"/>
        <w:szCs w:val="18"/>
        <w:lang w:val="en-US" w:eastAsia="en-US" w:bidi="en-US"/>
      </w:rPr>
      <w:fldChar w:fldCharType="separate"/>
    </w:r>
    <w:r>
      <w:rPr>
        <w:i/>
        <w:iCs/>
        <w:noProof/>
        <w:sz w:val="18"/>
        <w:szCs w:val="18"/>
        <w:lang w:val="en-US" w:eastAsia="en-US" w:bidi="en-US"/>
      </w:rPr>
      <w:t xml:space="preserve">3</w:t>
    </w:r>
    <w:r>
      <w:rPr>
        <w:i/>
        <w:iCs/>
        <w:sz w:val="18"/>
        <w:szCs w:val="18"/>
        <w:lang w:val="en-US" w:eastAsia="en-US" w:bidi="en-US"/>
      </w:rPr>
      <w:fldChar w:fldCharType="end"/>
    </w:r>
    <w:r>
      <w:rPr>
        <w:i/>
        <w:iCs/>
        <w:sz w:val="18"/>
        <w:szCs w:val="18"/>
        <w:lang w:val="en-US" w:eastAsia="en-US" w:bidi="en-US"/>
      </w:rPr>
      <w:t xml:space="preserve"> of </w:t>
    </w:r>
    <w:r>
      <w:rPr>
        <w:i/>
        <w:iCs/>
        <w:noProof/>
        <w:sz w:val="18"/>
        <w:szCs w:val="18"/>
        <w:lang w:val="en-US" w:eastAsia="en-US" w:bidi="en-US"/>
      </w:rPr>
      <w:fldChar w:fldCharType="begin"/>
    </w:r>
    <w:r>
      <w:rPr>
        <w:i/>
        <w:iCs/>
        <w:noProof/>
        <w:sz w:val="18"/>
        <w:szCs w:val="18"/>
        <w:lang w:val="en-US" w:eastAsia="en-US" w:bidi="en-US"/>
      </w:rPr>
      <w:instrText xml:space="preserve"> NUMPAGES \* Arabic \* MERGEFORMAT </w:instrText>
    </w:r>
    <w:r>
      <w:rPr>
        <w:i/>
        <w:iCs/>
        <w:noProof/>
        <w:sz w:val="18"/>
        <w:szCs w:val="18"/>
        <w:lang w:val="en-US" w:eastAsia="en-US" w:bidi="en-US"/>
      </w:rPr>
      <w:fldChar w:fldCharType="separate"/>
    </w:r>
    <w:r>
      <w:rPr>
        <w:i/>
        <w:iCs/>
        <w:noProof/>
        <w:sz w:val="18"/>
        <w:szCs w:val="18"/>
        <w:lang w:val="en-US" w:eastAsia="en-US" w:bidi="en-US"/>
      </w:rPr>
      <w:t xml:space="preserve">4</w:t>
    </w:r>
    <w:r>
      <w:rPr>
        <w:i/>
        <w:iCs/>
        <w:sz w:val="18"/>
        <w:szCs w:val="18"/>
        <w:lang w:val="en-US" w:eastAsia="en-US" w:bidi="en-US"/>
      </w:rPr>
      <w:fldChar w:fldCharType="end"/>
    </w:r>
  </w:p>
  <w:p>
    <w:pPr>
      <w:pStyle w:val="Footer"/>
      <w:tabs>
        <w:tab w:val="clear" w:pos="8306"/>
        <w:tab w:val="right" w:pos="9639"/>
      </w:tabs>
      <w:jc w:val="center"/>
      <w:rPr>
        <w:i/>
        <w:iCs/>
        <w:sz w:val="18"/>
        <w:szCs w:val="18"/>
        <w:lang w:val="en-US" w:eastAsia="en-US" w:bidi="en-US"/>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rPr>
        <w:sz w:val="1"/>
        <w:szCs w:val="1"/>
      </w:rPr>
    </w:pPr>
  </w:p>
</w:ftr>
</file>

<file path=word/numbering.xml><?xml version="1.0" encoding="utf-8"?>
<w:numbering xmlns:w="http://schemas.openxmlformats.org/wordprocessingml/2006/main">
  <w:abstractNum w:abstractNumId="0">
    <w:multiLevelType w:val="multi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lvl w:ilvl="1">
      <w:start w:val="1"/>
      <w:numFmt w:val="bullet"/>
      <w:suff w:val="tab"/>
      <w:lvlText w:val="o"/>
      <w:pPr>
        <w:ind w:left="1440" w:hanging="360"/>
        <w:tabs>
          <w:tab w:val="num" w:pos="1440"/>
        </w:tabs>
      </w:pPr>
      <w:rPr>
        <w:rFonts w:hint="default" w:ascii="Courier New" w:hAnsi="Courier New" w:eastAsia="Courier New" w:cs="Courier New"/>
        <w:b w:val="off"/>
        <w:i w:val="off"/>
        <w:strike w:val="off"/>
        <w:color w:val="auto"/>
        <w:position w:val="0"/>
        <w:sz w:val="20"/>
        <w:u w:val="none"/>
        <w:shd w:val="clear" w:color="auto" w:fill="auto"/>
      </w:rPr>
    </w:lvl>
    <w:lvl w:ilvl="2">
      <w:start w:val="1"/>
      <w:numFmt w:val="bullet"/>
      <w:suff w:val="tab"/>
      <w:lvlText w:val=""/>
      <w:pPr>
        <w:ind w:left="1080" w:hanging="360"/>
        <w:tabs>
          <w:tab w:val="num" w:pos="1080"/>
        </w:tabs>
      </w:pPr>
    </w:lvl>
    <w:lvl w:ilvl="3">
      <w:start w:val="1"/>
      <w:numFmt w:val="bullet"/>
      <w:suff w:val="tab"/>
      <w:lvlText w:val=""/>
      <w:pPr>
        <w:ind w:left="1440" w:hanging="360"/>
        <w:tabs>
          <w:tab w:val="num" w:pos="1440"/>
        </w:tabs>
      </w:pPr>
    </w:lvl>
    <w:lvl w:ilvl="4">
      <w:start w:val="1"/>
      <w:numFmt w:val="bullet"/>
      <w:suff w:val="tab"/>
      <w:lvlText w:val=""/>
      <w:pPr>
        <w:ind w:left="1800" w:hanging="360"/>
        <w:tabs>
          <w:tab w:val="num" w:pos="1800"/>
        </w:tabs>
      </w:pPr>
    </w:lvl>
    <w:lvl w:ilvl="5">
      <w:start w:val="1"/>
      <w:numFmt w:val="bullet"/>
      <w:suff w:val="tab"/>
      <w:lvlText w:val=""/>
      <w:pPr>
        <w:ind w:left="2160" w:hanging="360"/>
        <w:tabs>
          <w:tab w:val="num" w:pos="2160"/>
        </w:tabs>
      </w:pPr>
    </w:lvl>
    <w:lvl w:ilvl="6">
      <w:start w:val="1"/>
      <w:numFmt w:val="bullet"/>
      <w:suff w:val="tab"/>
      <w:lvlText w:val=""/>
      <w:pPr>
        <w:ind w:left="2520" w:hanging="360"/>
        <w:tabs>
          <w:tab w:val="num" w:pos="2520"/>
        </w:tabs>
      </w:pPr>
    </w:lvl>
    <w:lvl w:ilvl="7">
      <w:start w:val="1"/>
      <w:numFmt w:val="bullet"/>
      <w:suff w:val="tab"/>
      <w:lvlText w:val=""/>
      <w:pPr>
        <w:ind w:left="2880" w:hanging="360"/>
        <w:tabs>
          <w:tab w:val="num" w:pos="2880"/>
        </w:tabs>
      </w:pPr>
    </w:lvl>
    <w:lvl w:ilvl="8">
      <w:start w:val="1"/>
      <w:numFmt w:val="bullet"/>
      <w:suff w:val="tab"/>
      <w:lvlText w:val=""/>
      <w:pPr>
        <w:ind w:left="3240" w:hanging="360"/>
        <w:tabs>
          <w:tab w:val="num" w:pos="3240"/>
        </w:tabs>
      </w:p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0"/>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Arial" w:hAnsi="Arial" w:eastAsia="Arial" w:cs="Arial"/>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rPr>
      <w:rFonts w:ascii="Verdana" w:hAnsi="Verdana" w:eastAsia="Verdana" w:cs="Verdana"/>
      <w:color w:val="333333"/>
      <w:sz w:val="14"/>
      <w:szCs w:val="14"/>
      <w:lang w:val="en-GB" w:eastAsia="en-GB" w:bidi="en-GB"/>
    </w:rPr>
  </w:style>
  <w:style w:type="character" w:styleId="Hyperlink">
    <w:name w:val="Hyperlink"/>
    <w:qFormat/>
    <w:rPr>
      <w:color w:val="0000FF"/>
      <w:u w:val="single"/>
      <w:rtl w:val="off"/>
    </w:rPr>
  </w:style>
  <w:style w:type="paragraph" w:styleId="Heading7">
    <w:name w:val="heading 7"/>
    <w:basedOn w:val="Normal"/>
    <w:next w:val="Normal"/>
    <w:qFormat/>
    <w:pPr>
      <w:keepNext/>
      <w:jc w:val="both"/>
      <w:outlineLvl w:val="6"/>
    </w:pPr>
    <w:rPr>
      <w:u w:val="single"/>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character" w:styleId="Heading 1 Char" w:customStyle="1">
    <w:name w:val="Heading 1 Char"/>
    <w:qFormat/>
    <w:rPr>
      <w:rFonts w:ascii="Cambria" w:hAnsi="Cambria" w:eastAsia="Cambria" w:cs="Cambria"/>
      <w:b/>
      <w:bCs/>
      <w:sz w:val="32"/>
      <w:szCs w:val="32"/>
      <w:rtl w:val="off"/>
      <w:lang w:val="en-GB" w:eastAsia="en-GB" w:bidi="en-GB"/>
    </w:rPr>
  </w:style>
  <w:style w:type="character" w:styleId="Heading 2 Char" w:customStyle="1">
    <w:name w:val="Heading 2 Char"/>
    <w:qFormat/>
    <w:rPr>
      <w:rFonts w:ascii="Cambria" w:hAnsi="Cambria" w:eastAsia="Cambria" w:cs="Cambria"/>
      <w:b/>
      <w:bCs/>
      <w:i/>
      <w:iCs/>
      <w:sz w:val="28"/>
      <w:szCs w:val="28"/>
      <w:rtl w:val="off"/>
      <w:lang w:val="en-GB" w:eastAsia="en-GB" w:bidi="en-GB"/>
    </w:rPr>
  </w:style>
  <w:style w:type="character" w:styleId="Heading 3 Char" w:customStyle="1">
    <w:name w:val="Heading 3 Char"/>
    <w:qFormat/>
    <w:rPr>
      <w:rFonts w:ascii="Cambria" w:hAnsi="Cambria" w:eastAsia="Cambria" w:cs="Cambria"/>
      <w:b/>
      <w:bCs/>
      <w:sz w:val="26"/>
      <w:szCs w:val="26"/>
      <w:rtl w:val="off"/>
      <w:lang w:val="en-GB" w:eastAsia="en-GB" w:bidi="en-GB"/>
    </w:rPr>
  </w:style>
  <w:style w:type="character" w:styleId="Heading 4 Char" w:customStyle="1">
    <w:name w:val="Heading 4 Char"/>
    <w:qFormat/>
    <w:rPr>
      <w:rFonts w:ascii="Calibri" w:hAnsi="Calibri" w:eastAsia="Calibri" w:cs="Calibri"/>
      <w:b/>
      <w:bCs/>
      <w:sz w:val="28"/>
      <w:szCs w:val="28"/>
      <w:rtl w:val="off"/>
      <w:lang w:val="en-GB" w:eastAsia="en-GB" w:bidi="en-GB"/>
    </w:rPr>
  </w:style>
  <w:style w:type="character" w:styleId="Heading 5 Char" w:customStyle="1">
    <w:name w:val="Heading 5 Char"/>
    <w:qFormat/>
    <w:rPr>
      <w:rFonts w:ascii="Calibri" w:hAnsi="Calibri" w:eastAsia="Calibri" w:cs="Calibri"/>
      <w:b/>
      <w:bCs/>
      <w:i/>
      <w:iCs/>
      <w:sz w:val="26"/>
      <w:szCs w:val="26"/>
      <w:rtl w:val="off"/>
      <w:lang w:val="en-GB" w:eastAsia="en-GB" w:bidi="en-GB"/>
    </w:rPr>
  </w:style>
  <w:style w:type="character" w:styleId="Heading 6 Char" w:customStyle="1">
    <w:name w:val="Heading 6 Char"/>
    <w:qFormat/>
    <w:rPr>
      <w:rFonts w:ascii="Calibri" w:hAnsi="Calibri" w:eastAsia="Calibri" w:cs="Calibri"/>
      <w:b/>
      <w:bCs/>
      <w:rtl w:val="off"/>
      <w:lang w:val="en-GB" w:eastAsia="en-GB" w:bidi="en-GB"/>
    </w:rPr>
  </w:style>
  <w:style w:type="character" w:styleId="Heading 7 Char" w:customStyle="1">
    <w:name w:val="Heading 7 Char"/>
    <w:qFormat/>
    <w:rPr>
      <w:rFonts w:ascii="Calibri" w:hAnsi="Calibri" w:eastAsia="Calibri" w:cs="Calibri"/>
      <w:sz w:val="24"/>
      <w:szCs w:val="24"/>
      <w:rtl w:val="off"/>
      <w:lang w:val="en-GB" w:eastAsia="en-GB" w:bidi="en-GB"/>
    </w:rPr>
  </w:style>
  <w:style w:type="character" w:styleId="Heading 8 Char" w:customStyle="1">
    <w:name w:val="Heading 8 Char"/>
    <w:qFormat/>
    <w:rPr>
      <w:rFonts w:ascii="Calibri" w:hAnsi="Calibri" w:eastAsia="Calibri" w:cs="Calibri"/>
      <w:i/>
      <w:iCs/>
      <w:sz w:val="24"/>
      <w:szCs w:val="24"/>
      <w:rtl w:val="off"/>
      <w:lang w:val="en-GB" w:eastAsia="en-GB" w:bidi="en-GB"/>
    </w:rPr>
  </w:style>
  <w:style w:type="character" w:styleId="Heading 9 Char" w:customStyle="1">
    <w:name w:val="Heading 9 Char"/>
    <w:qFormat/>
    <w:rPr>
      <w:rFonts w:ascii="Cambria" w:hAnsi="Cambria" w:eastAsia="Cambria" w:cs="Cambria"/>
      <w:rtl w:val="off"/>
      <w:lang w:val="en-GB" w:eastAsia="en-GB" w:bidi="en-GB"/>
    </w:rPr>
  </w:style>
  <w:style w:type="character" w:styleId="Body Text Char" w:customStyle="1">
    <w:name w:val="Body Text Char"/>
    <w:qFormat/>
    <w:rPr>
      <w:rtl w:val="off"/>
      <w:lang w:val="en-GB" w:eastAsia="en-GB" w:bidi="en-GB"/>
    </w:rPr>
  </w:style>
  <w:style w:type="paragraph" w:styleId="BodyTextIndent">
    <w:name w:val="Body Text Indent"/>
    <w:basedOn w:val="Normal"/>
    <w:next w:val="BodyTextIndent"/>
    <w:qFormat/>
    <w:pPr>
      <w:jc w:val="both"/>
    </w:pPr>
    <w:rPr>
      <w:i/>
      <w:iCs/>
      <w:lang w:val="en-GB" w:eastAsia="en-GB" w:bidi="en-GB"/>
    </w:rPr>
  </w:style>
  <w:style w:type="character" w:styleId="Body Text Indent Char" w:customStyle="1">
    <w:name w:val="Body Text Indent Char"/>
    <w:qFormat/>
    <w:rPr>
      <w:rtl w:val="off"/>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character" w:styleId="Body Text 3 Char" w:customStyle="1">
    <w:name w:val="Body Text 3 Char"/>
    <w:qFormat/>
    <w:rPr>
      <w:sz w:val="16"/>
      <w:szCs w:val="16"/>
      <w:rtl w:val="off"/>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character" w:styleId="Header Char" w:customStyle="1">
    <w:name w:val="Header Char"/>
    <w:qFormat/>
    <w:rPr>
      <w:rtl w:val="off"/>
      <w:lang w:val="en-GB" w:eastAsia="en-GB" w:bidi="en-GB"/>
    </w:rPr>
  </w:style>
  <w:style w:type="character" w:styleId="Footer Char" w:customStyle="1">
    <w:name w:val="Footer Char"/>
    <w:qFormat/>
    <w:rPr>
      <w:rtl w:val="off"/>
      <w:lang w:val="en-GB" w:eastAsia="en-GB" w:bidi="en-GB"/>
    </w:rPr>
  </w:style>
  <w:style w:type="paragraph" w:styleId="BodyTextIndent2">
    <w:name w:val="Body Text Indent 2"/>
    <w:basedOn w:val="Normal"/>
    <w:next w:val="BodyTextIndent2"/>
    <w:qFormat/>
    <w:pPr>
      <w:ind w:left="1080" w:hanging="360"/>
      <w:jc w:val="both"/>
    </w:pPr>
    <w:rPr>
      <w:lang w:val="en-GB" w:eastAsia="en-GB" w:bidi="en-GB"/>
    </w:rPr>
  </w:style>
  <w:style w:type="character" w:styleId="Body Text Indent 2 Char" w:customStyle="1">
    <w:name w:val="Body Text Indent 2 Char"/>
    <w:qFormat/>
    <w:rPr>
      <w:rtl w:val="off"/>
      <w:lang w:val="en-GB" w:eastAsia="en-GB" w:bidi="en-GB"/>
    </w:rPr>
  </w:style>
  <w:style w:type="character" w:styleId="FollowedHyperlink">
    <w:name w:val="FollowedHyperlink"/>
    <w:qFormat/>
    <w:rPr>
      <w:color w:val="800080"/>
      <w:u w:val="single"/>
      <w:rtl w:val="off"/>
    </w:rPr>
  </w:style>
  <w:style w:type="paragraph" w:styleId="BodyText2">
    <w:name w:val="Body Text 2"/>
    <w:basedOn w:val="Normal"/>
    <w:next w:val="BodyText2"/>
    <w:qFormat/>
    <w:pPr>
      <w:jc w:val="both"/>
    </w:pPr>
    <w:rPr>
      <w:lang w:val="en-GB" w:eastAsia="en-GB" w:bidi="en-GB"/>
    </w:rPr>
  </w:style>
  <w:style w:type="character" w:styleId="Body Text 2 Char" w:customStyle="1">
    <w:name w:val="Body Text 2 Char"/>
    <w:qFormat/>
    <w:rPr>
      <w:rtl w:val="off"/>
      <w:lang w:val="en-GB" w:eastAsia="en-GB" w:bidi="en-GB"/>
    </w:rPr>
  </w:style>
  <w:style w:type="paragraph" w:styleId="FootnoteText">
    <w:name w:val="footnote text"/>
    <w:basedOn w:val="Normal"/>
    <w:next w:val="FootnoteText"/>
    <w:qFormat/>
    <w:pPr/>
    <w:rPr>
      <w:lang w:val="en-GB" w:eastAsia="en-GB" w:bidi="en-GB"/>
    </w:rPr>
  </w:style>
  <w:style w:type="character" w:styleId="Footnote Text Char" w:customStyle="1">
    <w:name w:val="Footnote Text Char"/>
    <w:qFormat/>
    <w:rPr>
      <w:sz w:val="20"/>
      <w:szCs w:val="20"/>
      <w:rtl w:val="off"/>
      <w:lang w:val="en-GB" w:eastAsia="en-GB" w:bidi="en-GB"/>
    </w:rPr>
  </w:style>
  <w:style w:type="character" w:styleId="FootnoteReference">
    <w:name w:val="footnote reference"/>
    <w:qFormat/>
    <w:rPr>
      <w:vertAlign w:val="superscript"/>
      <w:rtl w:val="off"/>
    </w:rPr>
  </w:style>
  <w:style w:type="paragraph" w:styleId="Caption">
    <w:name w:val="caption"/>
    <w:basedOn w:val="Normal"/>
    <w:next w:val="Normal"/>
    <w:qFormat/>
    <w:pPr>
      <w:spacing w:before="120" w:after="120"/>
    </w:pPr>
    <w:rPr>
      <w:b/>
      <w:bCs/>
      <w:lang w:val="en-GB" w:eastAsia="en-GB" w:bidi="en-GB"/>
    </w:rPr>
  </w:style>
  <w:style w:type="character" w:styleId="Strong">
    <w:name w:val="Strong"/>
    <w:qFormat/>
    <w:rPr>
      <w:b/>
      <w:bCs/>
      <w:rtl w:val="off"/>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character" w:styleId="Balloon Text Char" w:customStyle="1">
    <w:name w:val="Balloon Text Char"/>
    <w:qFormat/>
    <w:rPr>
      <w:sz w:val="2"/>
      <w:szCs w:val="2"/>
      <w:rtl w:val="off"/>
      <w:lang w:val="en-GB" w:eastAsia="en-GB" w:bidi="en-GB"/>
    </w:rPr>
  </w:style>
  <w:style w:type="character" w:styleId="Emphasis">
    <w:name w:val="Emphasis"/>
    <w:qFormat/>
    <w:rPr>
      <w:i/>
      <w:iCs/>
      <w:rtl w:val="off"/>
    </w:rPr>
  </w:style>
  <w:style w:type="paragraph" w:styleId="Subtitle">
    <w:name w:val="Subtitle"/>
    <w:basedOn w:val="Normal"/>
    <w:next w:val="Subtitle"/>
    <w:qFormat/>
    <w:pPr/>
    <w:rPr>
      <w:b/>
      <w:bCs/>
      <w:i/>
      <w:iCs/>
      <w:lang w:val="en-GB" w:eastAsia="en-GB" w:bidi="en-GB"/>
    </w:rPr>
  </w:style>
  <w:style w:type="character" w:styleId="Subtitle Char" w:customStyle="1">
    <w:name w:val="Subtitle Char"/>
    <w:qFormat/>
    <w:rPr>
      <w:rFonts w:ascii="Cambria" w:hAnsi="Cambria" w:eastAsia="Cambria" w:cs="Cambria"/>
      <w:sz w:val="24"/>
      <w:szCs w:val="24"/>
      <w:rtl w:val="off"/>
      <w:lang w:val="en-GB" w:eastAsia="en-GB" w:bidi="en-GB"/>
    </w:rPr>
  </w:style>
  <w:style w:type="paragraph" w:styleId="PlainText">
    <w:name w:val="Plain Text"/>
    <w:basedOn w:val="Normal"/>
    <w:next w:val="PlainText"/>
    <w:qFormat/>
    <w:pPr/>
    <w:rPr>
      <w:color w:val="000000"/>
      <w:lang w:val="en-US" w:eastAsia="en-US" w:bidi="en-US"/>
    </w:rPr>
  </w:style>
  <w:style w:type="character" w:styleId="Plain Text Char" w:customStyle="1">
    <w:name w:val="Plain Text Char"/>
    <w:qFormat/>
    <w:rPr>
      <w:rFonts w:ascii="Courier New" w:hAnsi="Courier New" w:eastAsia="Courier New" w:cs="Courier New"/>
      <w:sz w:val="20"/>
      <w:szCs w:val="20"/>
      <w:rtl w:val="off"/>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Fonts w:ascii="Arial" w:hAnsi="Arial" w:eastAsia="Arial" w:cs="Arial"/>
      <w:rtl w:val="off"/>
      <w:lang w:val="en-GB" w:eastAsia="en-GB" w:bidi="en-GB"/>
    </w:rPr>
  </w:style>
  <w:style w:type="character" w:styleId="Comment Subject Char" w:customStyle="1">
    <w:name w:val="Comment Subject Char"/>
    <w:basedOn w:val="Comment Text Char"/>
    <w:qFormat/>
    <w:rPr>
      <w:rFonts w:ascii="Arial" w:hAnsi="Arial" w:eastAsia="Arial" w:cs="Arial"/>
      <w:b/>
      <w:bCs/>
      <w:lang w:val="en-GB" w:eastAsia="en-GB" w:bidi="en-GB"/>
    </w:rPr>
  </w:style>
  <w:style w:type="character" w:styleId="UnresolvedMention">
    <w:name w:val="Unresolved Mention"/>
    <w:qFormat/>
    <w:rPr>
      <w:color w:val="605E5C"/>
      <w:shd w:val="clear" w:color="auto" w:fill="E1DFDD"/>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jp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2026-06-28T15:11:00Z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0x0101005093A91C4697ED43BB0BE35EDCAADDFA</vt:lpwstr>
  </property>
</Properties>
</file>