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drawing>
          <wp:anchor distT="0" distB="0" distL="0" distR="0" simplePos="0" relativeHeight="251659263" behindDoc="0" locked="0" layoutInCell="1" hidden="0" allowOverlap="1">
            <wp:simplePos x="0" y="0"/>
            <wp:positionH relativeFrom="column">
              <wp:posOffset>-1144270</wp:posOffset>
            </wp:positionH>
            <wp:positionV relativeFrom="paragraph">
              <wp:posOffset>0</wp:posOffset>
            </wp:positionV>
            <wp:extent cx="7562850" cy="2520950"/>
            <wp:wrapSquare wrapText="bothSides"/>
            <wp:docPr id="1" name="_tx_id_1_"/>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7562850" cy="2520950"/>
                    </a:xfrm>
                    <a:prstGeom prst="rect">
                      <a:avLst/>
                    </a:prstGeom>
                  </pic:spPr>
                </pic:pic>
              </a:graphicData>
            </a:graphic>
          </wp:anchor>
        </w:drawing>
      </w:r>
      <w:r>
        <w:rPr>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rFonts w:ascii="Times New Roman" w:hAnsi="Times New Roman" w:eastAsia="Times New Roman" w:cs="Times New Roman"/>
          <w:sz w:val="22"/>
          <w:szCs w:val="22"/>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__________________________________________________________________________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THE POST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bl>
      <w:tblPr>
        <w:tblW w:w="0" w:type="auto"/>
        <w:jc w:val="left"/>
        <w:tblInd w:w="0" w:type="dxa"/>
        <w:tblBorders>
          <w:top w:val="none"/>
          <w:left w:val="none"/>
          <w:bottom w:val="none"/>
          <w:right w:val="none"/>
          <w:insideH w:val="none"/>
          <w:insideV w:val="none"/>
        </w:tblBorders>
        <w:tblLayout w:type="fixed"/>
        <w:tblCellMar>
          <w:top w:w="0" w:type="dxa"/>
          <w:left w:w="0" w:type="dxa"/>
          <w:bottom w:w="0" w:type="dxa"/>
          <w:right w:w="0" w:type="dxa"/>
        </w:tblCellMar>
      </w:tblPr>
      <w:tblGrid>
        <w:gridCol w:w="2161"/>
        <w:gridCol w:w="6200"/>
      </w:tblGrid>
      <w:tr>
        <w:trPr>
          <w:trHeight w:val="457" w:hRule="atLeast"/>
        </w:trPr>
        <w:tc>
          <w:tcPr>
            <w:tcW w:w="21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c>
          <w:tcPr>
            <w:tcW w:w="620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Education and Academic Services (EAS) </w:t>
            </w:r>
          </w:p>
        </w:tc>
      </w:tr>
      <w:tr>
        <w:trPr>
          <w:trHeight w:val="461" w:hRule="atLeast"/>
        </w:trPr>
        <w:tc>
          <w:tcPr>
            <w:tcW w:w="2161" w:type="dxa"/>
            <w:shd w:val="clear" w:color="auto" w:fill="auto"/>
            <w:vAlign w:val="top"/>
          </w:tcPr>
          <w:p>
            <w:pPr>
              <w:pStyle w:val="Normal"/>
              <w:tabs>
                <w:tab w:val="center"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59" w:lineRule="auto"/>
              <w:ind w:left="0" w:firstLine="0"/>
              <w:jc w:val="left"/>
              <w:rPr>
                <w:lang w:val="en-GB" w:eastAsia="en-GB" w:bidi="en-GB"/>
              </w:rPr>
            </w:pPr>
            <w:r>
              <w:rPr>
                <w:b/>
                <w:bCs/>
                <w:lang w:val="en-GB" w:eastAsia="en-GB" w:bidi="en-GB"/>
              </w:rPr>
              <w:t xml:space="preserve">Post: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c>
          <w:tcPr>
            <w:tcW w:w="620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Operations Manager (Wellbeing Services)</w:t>
            </w:r>
            <w:r>
              <w:rPr>
                <w:lang w:val="en-GB" w:eastAsia="en-GB" w:bidi="en-GB"/>
              </w:rPr>
              <w:t xml:space="preserve"> </w:t>
            </w:r>
          </w:p>
        </w:tc>
      </w:tr>
      <w:tr>
        <w:trPr>
          <w:trHeight w:val="459" w:hRule="atLeast"/>
        </w:trPr>
        <w:tc>
          <w:tcPr>
            <w:tcW w:w="21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Reference No: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c>
          <w:tcPr>
            <w:tcW w:w="620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ID 2158</w:t>
            </w:r>
          </w:p>
        </w:tc>
      </w:tr>
      <w:tr>
        <w:trPr>
          <w:trHeight w:val="461" w:hRule="atLeast"/>
        </w:trPr>
        <w:tc>
          <w:tcPr>
            <w:tcW w:w="2161" w:type="dxa"/>
            <w:shd w:val="clear" w:color="auto" w:fill="auto"/>
            <w:vAlign w:val="top"/>
          </w:tcPr>
          <w:p>
            <w:pPr>
              <w:pStyle w:val="Normal"/>
              <w:tabs>
                <w:tab w:val="center"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59" w:lineRule="auto"/>
              <w:ind w:left="0" w:firstLine="0"/>
              <w:jc w:val="left"/>
              <w:rPr>
                <w:lang w:val="en-GB" w:eastAsia="en-GB" w:bidi="en-GB"/>
              </w:rPr>
            </w:pPr>
            <w:r>
              <w:rPr>
                <w:b/>
                <w:bCs/>
                <w:lang w:val="en-GB" w:eastAsia="en-GB" w:bidi="en-GB"/>
              </w:rPr>
              <w:t xml:space="preserve">Grade: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c>
          <w:tcPr>
            <w:tcW w:w="620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G </w:t>
            </w:r>
          </w:p>
        </w:tc>
      </w:tr>
      <w:tr>
        <w:trPr>
          <w:trHeight w:val="461" w:hRule="atLeast"/>
        </w:trPr>
        <w:tc>
          <w:tcPr>
            <w:tcW w:w="21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Reporting To: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c>
          <w:tcPr>
            <w:tcW w:w="620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Assistant Director of Wellbeing Services</w:t>
            </w:r>
          </w:p>
        </w:tc>
      </w:tr>
      <w:tr>
        <w:trPr>
          <w:trHeight w:val="458" w:hRule="atLeast"/>
        </w:trPr>
        <w:tc>
          <w:tcPr>
            <w:tcW w:w="21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Responsible to: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c>
          <w:tcPr>
            <w:tcW w:w="620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Director of Sports, Health and Wellbeing </w:t>
            </w:r>
          </w:p>
        </w:tc>
      </w:tr>
      <w:tr>
        <w:trPr>
          <w:trHeight w:val="1380" w:hRule="atLeast"/>
        </w:trPr>
        <w:tc>
          <w:tcPr>
            <w:tcW w:w="21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74" w:line="259" w:lineRule="auto"/>
              <w:ind w:left="0" w:firstLine="0"/>
              <w:jc w:val="left"/>
              <w:rPr>
                <w:lang w:val="en-GB" w:eastAsia="en-GB" w:bidi="en-GB"/>
              </w:rPr>
            </w:pPr>
            <w:r>
              <w:rPr>
                <w:b/>
                <w:bCs/>
                <w:lang w:val="en-GB" w:eastAsia="en-GB" w:bidi="en-GB"/>
              </w:rPr>
              <w:t xml:space="preserve">Responsible for: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tc>
        <w:tc>
          <w:tcPr>
            <w:tcW w:w="620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Cross campus Wellbeing and welfare operations and staff teams.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The post holder holds responsibility for a portfolio of service delivery teams, and for line management of Pathway Leads who oversee core day-to-day delivery.</w:t>
            </w:r>
            <w:r>
              <w:rPr>
                <w:rFonts w:ascii="Segoe UI" w:hAnsi="Segoe UI" w:eastAsia="Segoe UI" w:cs="Segoe UI"/>
                <w:vertAlign w:val="subscript"/>
                <w:lang w:val="en-GB" w:eastAsia="en-GB" w:bidi="en-GB"/>
              </w:rPr>
              <w:t xml:space="preserve">  </w:t>
            </w:r>
          </w:p>
        </w:tc>
      </w:tr>
      <w:tr>
        <w:trPr>
          <w:trHeight w:val="1837" w:hRule="atLeast"/>
        </w:trPr>
        <w:tc>
          <w:tcPr>
            <w:tcW w:w="2161"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Relationships:   </w:t>
            </w:r>
          </w:p>
        </w:tc>
        <w:tc>
          <w:tcPr>
            <w:tcW w:w="6200"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Internal: </w:t>
            </w:r>
            <w:r>
              <w:rPr>
                <w:lang w:val="en-GB" w:eastAsia="en-GB" w:bidi="en-GB"/>
              </w:rPr>
              <w:t xml:space="preserve">Education and Academic Services Senior Management;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Heads of Disciplines, Directors of Education, Student Records,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Faculty Office, Student Employability and Academic Success,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35" w:lineRule="auto"/>
              <w:ind w:left="0" w:firstLine="0"/>
              <w:jc w:val="left"/>
              <w:rPr>
                <w:lang w:val="en-GB" w:eastAsia="en-GB" w:bidi="en-GB"/>
              </w:rPr>
            </w:pPr>
            <w:r>
              <w:rPr>
                <w:lang w:val="en-GB" w:eastAsia="en-GB" w:bidi="en-GB"/>
              </w:rPr>
              <w:t xml:space="preserve">International Office, Governance and Compliance, Student Support, Communications and Marketing, Exams, Student Information Desks, Library, The Guild, INTO, and external partners as appropriate. </w:t>
            </w:r>
            <w:r>
              <w:rPr>
                <w:sz w:val="24"/>
                <w:szCs w:val="24"/>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rPr>
                <w:lang w:val="en-GB" w:eastAsia="en-GB" w:bidi="en-GB"/>
              </w:rPr>
            </w:pPr>
            <w:r>
              <w:rPr>
                <w:b/>
                <w:bCs/>
                <w:lang w:val="en-GB" w:eastAsia="en-GB" w:bidi="en-GB"/>
              </w:rPr>
              <w:t xml:space="preserve">External: </w:t>
            </w:r>
            <w:r>
              <w:rPr>
                <w:lang w:val="en-GB" w:eastAsia="en-GB" w:bidi="en-GB"/>
              </w:rPr>
              <w:t xml:space="preserve">Community Mental Health Teams, Crisis Teams, RD and 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Hospital/Psych Liaison; third sector health and social care providers</w:t>
            </w:r>
            <w:r>
              <w:rPr>
                <w:b/>
                <w:bCs/>
                <w:lang w:val="en-GB" w:eastAsia="en-GB" w:bidi="en-GB"/>
              </w:rPr>
              <w:t xml:space="preserve">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Context</w:t>
      </w:r>
      <w:r>
        <w:rPr>
          <w:u w:val="none"/>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 w:line="245" w:lineRule="auto"/>
        <w:ind w:left="0" w:firstLine="0"/>
        <w:jc w:val="left"/>
        <w:rPr>
          <w:lang w:val="en-GB" w:eastAsia="en-GB" w:bidi="en-GB"/>
        </w:rPr>
      </w:pPr>
      <w:r>
        <w:rPr>
          <w:lang w:val="en-GB" w:eastAsia="en-GB" w:bidi="en-GB"/>
        </w:rPr>
        <w:t xml:space="preserve">In collaboration with the academic faculties, the Education and Academic Services (EAS) Directorate provides all of the key administration and education support activities that underpin the student experience from Welcome Week to Graduation. Service divisions within EAS include Library, Student Employability and Academic Success, and Education and Student Support. This role sits within Wellbeing and Welfare Services.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Team</w:t>
      </w:r>
      <w:r>
        <w:rPr>
          <w:u w:val="none"/>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Wellbeing Services comprises Accessibility advisers, clinically qualified wellbeing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 w:line="245" w:lineRule="auto"/>
        <w:ind w:left="0" w:firstLine="0"/>
        <w:jc w:val="left"/>
        <w:rPr>
          <w:lang w:val="en-GB" w:eastAsia="en-GB" w:bidi="en-GB"/>
        </w:rPr>
      </w:pPr>
      <w:r>
        <w:rPr>
          <w:lang w:val="en-GB" w:eastAsia="en-GB" w:bidi="en-GB"/>
        </w:rPr>
        <w:t xml:space="preserve">(mental health) practitioners, the Welfare Team in Hubs, Welfare caseworkers (in Wellbeing), Residence Life teams and multi-faith Chaplaincy. Operations managers oversee a portfolio of delivery teams and report to the Assistant Director of Wellbeing. The post holder is expected to be flexible in the portfolio of services and staff they oversee, and responsibilities will change over time.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Main Purpose of the Job</w:t>
      </w:r>
      <w:r>
        <w:rPr>
          <w:u w:val="none"/>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0" w:firstLine="0"/>
        <w:rPr>
          <w:lang w:val="en-GB" w:eastAsia="en-GB" w:bidi="en-GB"/>
        </w:rPr>
      </w:pPr>
      <w:r>
        <w:rPr>
          <w:lang w:val="en-GB" w:eastAsia="en-GB" w:bidi="en-GB"/>
        </w:rPr>
        <w:t xml:space="preserve">The post holder will work closely with the senior Wellbeing management team and take the lead in managing and developing service operations across the University and all campuses. This includes oversight of a range of teams, as well as developing service procedures that ensure high-quality provision. As the responsibilities are wide-ranging, the successful candidate must be able to balance awareness of strategic priorities with successful operational delivery.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0" w:firstLine="0"/>
        <w:rPr>
          <w:lang w:val="en-GB" w:eastAsia="en-GB" w:bidi="en-GB"/>
        </w:rPr>
      </w:pPr>
      <w:r>
        <w:rPr>
          <w:lang w:val="en-GB" w:eastAsia="en-GB" w:bidi="en-GB"/>
        </w:rPr>
        <w:t xml:space="preserve">The high standards within Education and Academic Services require robust processes and services to support and keep abreast of developments in this essential student experience area.  Operations Managers must think strategically, analytically and creatively to maintain and improve service standards, systems and processes, and to ensure compliance with relevant legislation.  Policy initiatives must balance value for money with seamlessly delivered high calibre support to staff and students.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u w:val="single"/>
          <w:lang w:val="en-GB" w:eastAsia="en-GB" w:bidi="en-GB"/>
        </w:rPr>
        <w:t xml:space="preserve">Main duties and accountabilities:</w:t>
      </w:r>
      <w:r>
        <w:rPr>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sz w:val="24"/>
          <w:szCs w:val="24"/>
          <w:lang w:val="en-GB" w:eastAsia="en-GB" w:bidi="en-GB"/>
        </w:rPr>
        <w:t xml:space="preserve">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Lead, manage, and develop a portfolio of wellbeing and welfare service teams so that they are equipped for, and enthusiastic about, the challenges related to all aspects of wellbeing and welfare support. This also includes supporting the out-of-hours (OOH) welfare team, and development of associated OOH procedures, alongside participation in OOH delivery (on-campus and remotely)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Act as a senior point of contact for operational issues and challenges, and to support the resolution of complex issues, and high-level and high-impact student enquiries and problems, ensuring that action is taken in accordance with University policy and processes while also ensuring issues are resolved to a high customer service standard. </w:t>
      </w:r>
      <w:r>
        <w:rPr>
          <w:rFonts w:ascii="Segoe UI Symbol" w:hAnsi="Segoe UI Symbol" w:eastAsia="Segoe UI Symbol" w:cs="Segoe UI Symbol"/>
          <w:lang w:val="en-GB" w:eastAsia="en-GB" w:bidi="en-GB"/>
        </w:rPr>
        <w:t xml:space="preserve">•</w:t>
      </w:r>
      <w:r>
        <w:rPr>
          <w:lang w:val="en-GB" w:eastAsia="en-GB" w:bidi="en-GB"/>
        </w:rPr>
        <w:t xml:space="preserve"> To support the Assistant Director in the management of critical incidents, in particular providing urgent advice to key staff on ‘next steps’ in incident/crisis resolution. This includes being part of the team of senior managers who may be called on to handle urgent and serious student incidents, utilising the expertise and resources of student wellbeing colleagues where appropriate.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work collaboratively and in synergy with other senior management colleagues in Wellbeing to ensure seamless and effective overall student experience for all campuses across these interdependent services.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co-ordinate and develop welfare support across the University and in conjunction with other departments, including Wellbeing Services, Senior Tutors and pastoral mentors, Legal Services and the wider Student Services team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Operational oversight of key wellbeing and welfare procedures and protocols.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61"/>
        <w:ind w:left="705" w:hanging="360"/>
        <w:rPr>
          <w:lang w:val="en-GB" w:eastAsia="en-GB" w:bidi="en-GB"/>
        </w:rPr>
      </w:pPr>
      <w:r>
        <w:rPr>
          <w:lang w:val="en-GB" w:eastAsia="en-GB" w:bidi="en-GB"/>
        </w:rPr>
        <w:t xml:space="preserve">Ensure professional approaches to wellbeing and welfare are valued and developed further, basing those approaches within the context of the needs of the university as a whole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31" w:line="245" w:lineRule="auto"/>
        <w:ind w:left="705" w:hanging="360"/>
        <w:rPr>
          <w:lang w:val="en-GB" w:eastAsia="en-GB" w:bidi="en-GB"/>
        </w:rPr>
      </w:pPr>
      <w:r>
        <w:rPr>
          <w:lang w:val="en-GB" w:eastAsia="en-GB" w:bidi="en-GB"/>
        </w:rPr>
        <w:t xml:space="preserve">Advising on the application of the University’s Health, Wellbeing and Support for Study procedure and contributing to ongoing review and revision. To represent the service in Level 3 meetings.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31" w:line="245" w:lineRule="auto"/>
        <w:ind w:left="705" w:hanging="360"/>
        <w:rPr>
          <w:lang w:val="en-GB" w:eastAsia="en-GB" w:bidi="en-GB"/>
        </w:rPr>
      </w:pPr>
      <w:r>
        <w:rPr>
          <w:lang w:val="en-GB" w:eastAsia="en-GB" w:bidi="en-GB"/>
        </w:rPr>
        <w:t xml:space="preserve">Provision of training and consultancy advice to staff at the university regarding the provision of pastoral support.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31" w:line="245" w:lineRule="auto"/>
        <w:ind w:left="705" w:hanging="360"/>
        <w:rPr>
          <w:lang w:val="en-GB" w:eastAsia="en-GB" w:bidi="en-GB"/>
        </w:rPr>
      </w:pPr>
      <w:r>
        <w:rPr>
          <w:lang w:val="en-GB" w:eastAsia="en-GB" w:bidi="en-GB"/>
        </w:rPr>
        <w:t xml:space="preserve">Commitment to both attend and contribute to mandatory specialist and bespoke training as required by the University in relation to potential student welfare situations and application of policy and process.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initiate and support new welfare programmes and services that further enhance the student experience. To act as Project Manager for specific developments and participate in working groups as required.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Quality management and monitoring of service standards, including production of management and operational reporting data. Producing annual reports and updates for senior staff on welfare developments.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Liaison with key stakeholders internally, and externally, as part of continuous service improvement.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support and develop the overall objectives of Education and Academic Services by providing high quality professional services to students, staff, visitors and clients.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work in partnership with other service and directorate managers to ensure efficient and effective operational delivery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work collaboratively across the institution to peer network and share best practice, or to represent the Directorate and its constituencies on working parties or task groups.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contribute to the development and implementation of Education and Academic Services' strategic objectives.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maximise alignment between strategic plans and resource utilisation.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benchmark equivalent activities across the sector and develop best practice for a positive student experience.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act as a senior member of the team in financial management and oversight.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ensure the optimal use of space and facilities.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To optimise deployment of staff resources to meet business needs. to work flexibly and seamlessly with the senior team as well as independently to deliver value for money services.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Assist at university wide events such as graduation, exams and open days where required.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Respond to enquiries (in person, by telephone or email) from staff, students and visitors in a professional and customer-focused manner.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05" w:hanging="360"/>
        <w:rPr>
          <w:lang w:val="en-GB" w:eastAsia="en-GB" w:bidi="en-GB"/>
        </w:rPr>
      </w:pPr>
      <w:r>
        <w:rPr>
          <w:lang w:val="en-GB" w:eastAsia="en-GB" w:bidi="en-GB"/>
        </w:rPr>
        <w:t xml:space="preserve">Provide cover and support for colleagues and teams within the Directorate during peak periods, holidays or illness. </w:t>
      </w:r>
    </w:p>
    <w:p>
      <w:pPr>
        <w:pStyle w:val="Normal"/>
        <w:numPr>
          <w:ilvl w:val="0"/>
          <w:numId w:val="1"/>
        </w:numPr>
        <w:tabs>
          <w:tab w:val="left" w:pos="705"/>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ind w:left="705" w:hanging="360"/>
        <w:rPr>
          <w:lang w:val="en-GB" w:eastAsia="en-GB" w:bidi="en-GB"/>
        </w:rPr>
      </w:pPr>
      <w:r>
        <w:rPr>
          <w:lang w:val="en-GB" w:eastAsia="en-GB" w:bidi="en-GB"/>
        </w:rPr>
        <w:t xml:space="preserve">Undertake any other reasonable duties and projects as may be required in accordance with the grade of the post.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123"/>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2" w:line="245" w:lineRule="auto"/>
        <w:ind w:left="123" w:hanging="10"/>
        <w:jc w:val="left"/>
        <w:rPr>
          <w:lang w:val="en-GB" w:eastAsia="en-GB" w:bidi="en-GB"/>
        </w:rPr>
      </w:pPr>
      <w:r>
        <w:rPr>
          <w:lang w:val="en-GB" w:eastAsia="en-GB" w:bidi="en-GB"/>
        </w:rPr>
        <w:t xml:space="preserve">This job description summarises the main duties and accountabilities of the post and is not comprehensive: the post</w:t>
      </w:r>
      <w:r>
        <w:rPr>
          <w:b/>
          <w:bCs/>
          <w:lang w:val="en-GB" w:eastAsia="en-GB" w:bidi="en-GB"/>
        </w:rPr>
        <w:t xml:space="preserve">-</w:t>
      </w:r>
      <w:r>
        <w:rPr>
          <w:lang w:val="en-GB" w:eastAsia="en-GB" w:bidi="en-GB"/>
        </w:rPr>
        <w:t xml:space="preserve">holder may be required to undertake other duties of similar level and responsibility.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Heading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Person Specification</w:t>
      </w:r>
      <w:r>
        <w:rPr>
          <w:u w:val="none"/>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The successful candidate will need to demonstrate: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i/>
          <w:iCs/>
          <w:lang w:val="en-GB" w:eastAsia="en-GB" w:bidi="en-GB"/>
        </w:rPr>
        <w:t xml:space="preserve"> </w:t>
      </w:r>
    </w:p>
    <w:tbl>
      <w:tblPr>
        <w:tblW w:w="0" w:type="auto"/>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2" w:type="dxa"/>
          <w:left w:w="108" w:type="dxa"/>
          <w:bottom w:w="0" w:type="dxa"/>
          <w:right w:w="56" w:type="dxa"/>
        </w:tblCellMar>
      </w:tblPr>
      <w:tblGrid>
        <w:gridCol w:w="2036"/>
        <w:gridCol w:w="3615"/>
        <w:gridCol w:w="2652"/>
      </w:tblGrid>
      <w:tr>
        <w:trPr>
          <w:trHeight w:val="701" w:hRule="atLeast"/>
        </w:trPr>
        <w:tc>
          <w:tcPr>
            <w:tcW w:w="203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Competency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tc>
        <w:tc>
          <w:tcPr>
            <w:tcW w:w="36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Essential </w:t>
            </w:r>
          </w:p>
        </w:tc>
        <w:tc>
          <w:tcPr>
            <w:tcW w:w="265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Desirable </w:t>
            </w:r>
          </w:p>
        </w:tc>
      </w:tr>
      <w:tr>
        <w:trPr>
          <w:trHeight w:val="2952" w:hRule="atLeast"/>
        </w:trPr>
        <w:tc>
          <w:tcPr>
            <w:tcW w:w="203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Attainments and qualifications </w:t>
            </w:r>
          </w:p>
        </w:tc>
        <w:tc>
          <w:tcPr>
            <w:tcW w:w="36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 w:line="240" w:lineRule="auto"/>
              <w:ind w:left="0" w:firstLine="0"/>
              <w:jc w:val="left"/>
              <w:rPr>
                <w:color w:val="auto"/>
                <w:lang w:val="en-GB" w:eastAsia="en-GB" w:bidi="en-GB"/>
              </w:rPr>
            </w:pPr>
            <w:r>
              <w:rPr>
                <w:color w:val="auto"/>
                <w:lang w:val="en-GB" w:eastAsia="en-GB" w:bidi="en-GB"/>
              </w:rPr>
              <w:t xml:space="preserve">Educated to at least first-degree level or equivalent or hold a relevant professional qualification.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8" w:line="240" w:lineRule="auto"/>
              <w:ind w:left="0" w:firstLine="0"/>
              <w:jc w:val="left"/>
              <w:rPr>
                <w:color w:val="auto"/>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38" w:lineRule="auto"/>
              <w:ind w:left="0" w:firstLine="0"/>
              <w:jc w:val="left"/>
              <w:rPr>
                <w:color w:val="auto"/>
                <w:lang w:val="en-GB" w:eastAsia="en-GB" w:bidi="en-GB"/>
              </w:rPr>
            </w:pPr>
            <w:r>
              <w:rPr>
                <w:color w:val="auto"/>
                <w:lang w:val="en-GB" w:eastAsia="en-GB" w:bidi="en-GB"/>
              </w:rPr>
              <w:t xml:space="preserve">A professional Mental Health/Health and Social Care qualification and membership of a professional organisation (HCPC/RCN/BACP/BABCP etc) Or equivalent professional and clinical experience Or registered Social Worker.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c>
          <w:tcPr>
            <w:tcW w:w="265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 w:line="240" w:lineRule="auto"/>
              <w:ind w:left="0" w:firstLine="0"/>
              <w:jc w:val="left"/>
              <w:rPr>
                <w:lang w:val="en-GB" w:eastAsia="en-GB" w:bidi="en-GB"/>
              </w:rPr>
            </w:pPr>
            <w:r>
              <w:rPr>
                <w:lang w:val="en-GB" w:eastAsia="en-GB" w:bidi="en-GB"/>
              </w:rPr>
              <w:t xml:space="preserve">Postgraduate management qualification (e.g. MBA).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r>
      <w:tr>
        <w:trPr>
          <w:trHeight w:val="3922" w:hRule="atLeast"/>
        </w:trPr>
        <w:tc>
          <w:tcPr>
            <w:tcW w:w="203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Prior experience </w:t>
            </w:r>
          </w:p>
        </w:tc>
        <w:tc>
          <w:tcPr>
            <w:tcW w:w="36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2" w:lineRule="auto"/>
              <w:ind w:left="0" w:right="10" w:firstLine="0"/>
              <w:jc w:val="left"/>
              <w:rPr>
                <w:lang w:val="en-GB" w:eastAsia="en-GB" w:bidi="en-GB"/>
              </w:rPr>
            </w:pPr>
            <w:r>
              <w:rPr>
                <w:lang w:val="en-GB" w:eastAsia="en-GB" w:bidi="en-GB"/>
              </w:rPr>
              <w:t xml:space="preserve">Relevant senior experience in a Higher Education or similar public sector environment.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jc w:val="left"/>
              <w:rPr>
                <w:lang w:val="en-GB" w:eastAsia="en-GB" w:bidi="en-GB"/>
              </w:rPr>
            </w:pPr>
            <w:r>
              <w:rPr>
                <w:lang w:val="en-GB" w:eastAsia="en-GB" w:bidi="en-GB"/>
              </w:rPr>
              <w:t xml:space="preserve">Experience of dealing with critical incidents.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ight="9" w:firstLine="0"/>
              <w:jc w:val="left"/>
              <w:rPr>
                <w:lang w:val="en-GB" w:eastAsia="en-GB" w:bidi="en-GB"/>
              </w:rPr>
            </w:pPr>
            <w:r>
              <w:rPr>
                <w:lang w:val="en-GB" w:eastAsia="en-GB" w:bidi="en-GB"/>
              </w:rPr>
              <w:t xml:space="preserve">A good understanding of the legislative framework relating to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mental health and other disabilities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 w:line="240" w:lineRule="auto"/>
              <w:ind w:left="0" w:firstLine="0"/>
              <w:jc w:val="left"/>
              <w:rPr>
                <w:lang w:val="en-GB" w:eastAsia="en-GB" w:bidi="en-GB"/>
              </w:rPr>
            </w:pPr>
            <w:r>
              <w:rPr>
                <w:lang w:val="en-GB" w:eastAsia="en-GB" w:bidi="en-GB"/>
              </w:rPr>
              <w:t xml:space="preserve">Experience of carrying out risk assessments to ensure appropriate support is offered.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Experience of coordinating direct support to individuals with health and </w:t>
            </w:r>
          </w:p>
        </w:tc>
        <w:tc>
          <w:tcPr>
            <w:tcW w:w="265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 w:line="240" w:lineRule="auto"/>
              <w:ind w:left="0" w:firstLine="0"/>
              <w:jc w:val="left"/>
              <w:rPr>
                <w:lang w:val="en-GB" w:eastAsia="en-GB" w:bidi="en-GB"/>
              </w:rPr>
            </w:pPr>
            <w:r>
              <w:rPr>
                <w:lang w:val="en-GB" w:eastAsia="en-GB" w:bidi="en-GB"/>
              </w:rPr>
              <w:t xml:space="preserve">Management of a specialist service provision within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higher education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 w:line="240" w:lineRule="auto"/>
              <w:ind w:left="0" w:firstLine="0"/>
              <w:jc w:val="left"/>
              <w:rPr>
                <w:lang w:val="en-GB" w:eastAsia="en-GB" w:bidi="en-GB"/>
              </w:rPr>
            </w:pPr>
            <w:r>
              <w:rPr>
                <w:lang w:val="en-GB" w:eastAsia="en-GB" w:bidi="en-GB"/>
              </w:rPr>
              <w:t xml:space="preserve">Experience of matrix managing teams spread across multiple venues.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61"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78" w:line="240" w:lineRule="auto"/>
              <w:ind w:left="0" w:right="14" w:firstLine="0"/>
              <w:jc w:val="left"/>
              <w:rPr>
                <w:lang w:val="en-GB" w:eastAsia="en-GB" w:bidi="en-GB"/>
              </w:rPr>
            </w:pPr>
            <w:r>
              <w:rPr>
                <w:lang w:val="en-GB" w:eastAsia="en-GB" w:bidi="en-GB"/>
              </w:rPr>
              <w:t xml:space="preserve">Proven experience of partnership working within a voluntary, community or statutory health related environment</w:t>
            </w:r>
            <w:r>
              <w:rPr>
                <w:color w:val="373737"/>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right="4" w:firstLine="0"/>
        <w:jc w:val="left"/>
        <w:rPr>
          <w:lang w:val="en-GB" w:eastAsia="en-GB" w:bidi="en-GB"/>
        </w:rPr>
      </w:pPr>
    </w:p>
    <w:tbl>
      <w:tblPr>
        <w:tblW w:w="0" w:type="auto"/>
        <w:jc w:val="lef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2" w:type="dxa"/>
          <w:left w:w="103" w:type="dxa"/>
          <w:bottom w:w="0" w:type="dxa"/>
          <w:right w:w="54" w:type="dxa"/>
        </w:tblCellMar>
      </w:tblPr>
      <w:tblGrid>
        <w:gridCol w:w="2036"/>
        <w:gridCol w:w="3615"/>
        <w:gridCol w:w="2652"/>
      </w:tblGrid>
      <w:tr>
        <w:trPr>
          <w:trHeight w:val="5881" w:hRule="atLeast"/>
        </w:trPr>
        <w:tc>
          <w:tcPr>
            <w:tcW w:w="203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ind w:left="0" w:firstLine="0"/>
              <w:jc w:val="left"/>
              <w:rPr>
                <w:lang w:val="en-GB" w:eastAsia="en-GB" w:bidi="en-GB"/>
              </w:rPr>
            </w:pPr>
          </w:p>
        </w:tc>
        <w:tc>
          <w:tcPr>
            <w:tcW w:w="36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jc w:val="left"/>
              <w:rPr>
                <w:lang w:val="en-GB" w:eastAsia="en-GB" w:bidi="en-GB"/>
              </w:rPr>
            </w:pPr>
            <w:r>
              <w:rPr>
                <w:lang w:val="en-GB" w:eastAsia="en-GB" w:bidi="en-GB"/>
              </w:rPr>
              <w:t xml:space="preserve">wellbeing needs, including mental health difficulties.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 w:line="240" w:lineRule="auto"/>
              <w:ind w:left="0" w:firstLine="0"/>
              <w:jc w:val="left"/>
              <w:rPr>
                <w:lang w:val="en-GB" w:eastAsia="en-GB" w:bidi="en-GB"/>
              </w:rPr>
            </w:pPr>
            <w:r>
              <w:rPr>
                <w:lang w:val="en-GB" w:eastAsia="en-GB" w:bidi="en-GB"/>
              </w:rPr>
              <w:t xml:space="preserve">Change management experience,  Project management experience or experience of conducting major change projects from start to finish.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18" w:line="240" w:lineRule="auto"/>
              <w:ind w:left="0" w:right="57" w:firstLine="0"/>
              <w:rPr>
                <w:lang w:val="en-GB" w:eastAsia="en-GB" w:bidi="en-GB"/>
              </w:rPr>
            </w:pPr>
            <w:r>
              <w:rPr>
                <w:lang w:val="en-GB" w:eastAsia="en-GB" w:bidi="en-GB"/>
              </w:rPr>
              <w:t xml:space="preserve">Experience of successful team leadership, including team development and workload planning, staff performance appraisal,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jc w:val="left"/>
              <w:rPr>
                <w:lang w:val="en-GB" w:eastAsia="en-GB" w:bidi="en-GB"/>
              </w:rPr>
            </w:pPr>
            <w:r>
              <w:rPr>
                <w:lang w:val="en-GB" w:eastAsia="en-GB" w:bidi="en-GB"/>
              </w:rPr>
              <w:t xml:space="preserve">Developing and implementing operational policies and strategies.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2" w:lineRule="auto"/>
              <w:ind w:left="0" w:firstLine="0"/>
              <w:jc w:val="left"/>
              <w:rPr>
                <w:lang w:val="en-GB" w:eastAsia="en-GB" w:bidi="en-GB"/>
              </w:rPr>
            </w:pPr>
            <w:r>
              <w:rPr>
                <w:lang w:val="en-GB" w:eastAsia="en-GB" w:bidi="en-GB"/>
              </w:rPr>
              <w:t xml:space="preserve">Experience of providing reports and management information.  Ability to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undertake complex data analysis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ight="34" w:firstLine="0"/>
              <w:jc w:val="left"/>
              <w:rPr>
                <w:lang w:val="en-GB" w:eastAsia="en-GB" w:bidi="en-GB"/>
              </w:rPr>
            </w:pPr>
            <w:r>
              <w:rPr>
                <w:lang w:val="en-GB" w:eastAsia="en-GB" w:bidi="en-GB"/>
              </w:rPr>
              <w:t xml:space="preserve">Knowledge and experience of diversity issues.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 w:line="240" w:lineRule="auto"/>
              <w:ind w:left="0" w:firstLine="0"/>
              <w:jc w:val="left"/>
              <w:rPr>
                <w:lang w:val="en-GB" w:eastAsia="en-GB" w:bidi="en-GB"/>
              </w:rPr>
            </w:pPr>
            <w:r>
              <w:rPr>
                <w:lang w:val="en-GB" w:eastAsia="en-GB" w:bidi="en-GB"/>
              </w:rPr>
              <w:t xml:space="preserve">Responsibility for database and IT records and usage across a team.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c>
          <w:tcPr>
            <w:tcW w:w="265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ind w:left="0" w:firstLine="0"/>
              <w:jc w:val="left"/>
              <w:rPr>
                <w:lang w:val="en-GB" w:eastAsia="en-GB" w:bidi="en-GB"/>
              </w:rPr>
            </w:pPr>
          </w:p>
        </w:tc>
      </w:tr>
      <w:tr>
        <w:trPr>
          <w:trHeight w:val="8521" w:hRule="atLeast"/>
        </w:trPr>
        <w:tc>
          <w:tcPr>
            <w:tcW w:w="2036"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Skills and understanding </w:t>
            </w:r>
          </w:p>
        </w:tc>
        <w:tc>
          <w:tcPr>
            <w:tcW w:w="3615"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right="21" w:firstLine="0"/>
              <w:jc w:val="left"/>
              <w:rPr>
                <w:lang w:val="en-GB" w:eastAsia="en-GB" w:bidi="en-GB"/>
              </w:rPr>
            </w:pPr>
            <w:r>
              <w:rPr>
                <w:lang w:val="en-GB" w:eastAsia="en-GB" w:bidi="en-GB"/>
              </w:rPr>
              <w:t xml:space="preserve">Ability to take both a broad overview of strategic issues and also to focus on the operational solutions.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3" w:line="240" w:lineRule="auto"/>
              <w:ind w:left="0" w:firstLine="0"/>
              <w:jc w:val="left"/>
              <w:rPr>
                <w:lang w:val="en-GB" w:eastAsia="en-GB" w:bidi="en-GB"/>
              </w:rPr>
            </w:pPr>
            <w:r>
              <w:rPr>
                <w:lang w:val="en-GB" w:eastAsia="en-GB" w:bidi="en-GB"/>
              </w:rPr>
              <w:t xml:space="preserve">Understanding of student support issues in higher education.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jc w:val="left"/>
              <w:rPr>
                <w:lang w:val="en-GB" w:eastAsia="en-GB" w:bidi="en-GB"/>
              </w:rPr>
            </w:pPr>
            <w:r>
              <w:rPr>
                <w:lang w:val="en-GB" w:eastAsia="en-GB" w:bidi="en-GB"/>
              </w:rPr>
              <w:t xml:space="preserve">Understanding and experience of providing and delivering an exceptional level of customer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jc w:val="left"/>
              <w:rPr>
                <w:lang w:val="en-GB" w:eastAsia="en-GB" w:bidi="en-GB"/>
              </w:rPr>
            </w:pPr>
            <w:r>
              <w:rPr>
                <w:lang w:val="en-GB" w:eastAsia="en-GB" w:bidi="en-GB"/>
              </w:rPr>
              <w:t xml:space="preserve">Experience of designing and implementing processes and services to meet a diverse range of needs.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jc w:val="left"/>
              <w:rPr>
                <w:lang w:val="en-GB" w:eastAsia="en-GB" w:bidi="en-GB"/>
              </w:rPr>
            </w:pPr>
            <w:r>
              <w:rPr>
                <w:lang w:val="en-GB" w:eastAsia="en-GB" w:bidi="en-GB"/>
              </w:rPr>
              <w:t xml:space="preserve">Exceptional level of communication skills. Ability to effectively engage with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jc w:val="left"/>
              <w:rPr>
                <w:lang w:val="en-GB" w:eastAsia="en-GB" w:bidi="en-GB"/>
              </w:rPr>
            </w:pPr>
            <w:r>
              <w:rPr>
                <w:lang w:val="en-GB" w:eastAsia="en-GB" w:bidi="en-GB"/>
              </w:rPr>
              <w:t xml:space="preserve">both internal and external stakeholders.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 w:line="240" w:lineRule="auto"/>
              <w:ind w:left="0" w:right="3" w:firstLine="0"/>
              <w:jc w:val="left"/>
              <w:rPr>
                <w:lang w:val="en-GB" w:eastAsia="en-GB" w:bidi="en-GB"/>
              </w:rPr>
            </w:pPr>
            <w:r>
              <w:rPr>
                <w:lang w:val="en-GB" w:eastAsia="en-GB" w:bidi="en-GB"/>
              </w:rPr>
              <w:t xml:space="preserve">Evidence appropriate knowledge and understanding of confidentiality practices and legal requirements under Data Protection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 w:line="240" w:lineRule="auto"/>
              <w:ind w:left="0" w:firstLine="0"/>
              <w:jc w:val="left"/>
              <w:rPr>
                <w:lang w:val="en-GB" w:eastAsia="en-GB" w:bidi="en-GB"/>
              </w:rPr>
            </w:pPr>
            <w:r>
              <w:rPr>
                <w:lang w:val="en-GB" w:eastAsia="en-GB" w:bidi="en-GB"/>
              </w:rPr>
              <w:t xml:space="preserve">The ability to hold sensitive and difficult conversations with people in a distressed or acutely affected state.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jc w:val="left"/>
              <w:rPr>
                <w:lang w:val="en-GB" w:eastAsia="en-GB" w:bidi="en-GB"/>
              </w:rPr>
            </w:pPr>
            <w:r>
              <w:rPr>
                <w:lang w:val="en-GB" w:eastAsia="en-GB" w:bidi="en-GB"/>
              </w:rPr>
              <w:t xml:space="preserve">Experience of achieving a continuous improvement culture.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 w:line="240" w:lineRule="auto"/>
              <w:ind w:left="0" w:firstLine="0"/>
              <w:jc w:val="left"/>
              <w:rPr>
                <w:lang w:val="en-GB" w:eastAsia="en-GB" w:bidi="en-GB"/>
              </w:rPr>
            </w:pPr>
            <w:r>
              <w:rPr>
                <w:lang w:val="en-GB" w:eastAsia="en-GB" w:bidi="en-GB"/>
              </w:rPr>
              <w:t xml:space="preserve">Experience of, and a creative approach to, problem solving and responding flexibly to change.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c>
          <w:tcPr>
            <w:tcW w:w="265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jc w:val="left"/>
              <w:rPr>
                <w:lang w:val="en-GB" w:eastAsia="en-GB" w:bidi="en-GB"/>
              </w:rPr>
            </w:pPr>
            <w:r>
              <w:rPr>
                <w:lang w:val="en-GB" w:eastAsia="en-GB" w:bidi="en-GB"/>
              </w:rPr>
              <w:t xml:space="preserve">Knowledge and understanding of the key issues that promote success in an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internationally competitive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2" w:lineRule="auto"/>
              <w:ind w:left="0" w:firstLine="0"/>
              <w:jc w:val="left"/>
              <w:rPr>
                <w:lang w:val="en-GB" w:eastAsia="en-GB" w:bidi="en-GB"/>
              </w:rPr>
            </w:pPr>
            <w:r>
              <w:rPr>
                <w:lang w:val="en-GB" w:eastAsia="en-GB" w:bidi="en-GB"/>
              </w:rPr>
              <w:t xml:space="preserve">higher education environment.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jc w:val="left"/>
              <w:rPr>
                <w:lang w:val="en-GB" w:eastAsia="en-GB" w:bidi="en-GB"/>
              </w:rPr>
            </w:pPr>
            <w:r>
              <w:rPr>
                <w:lang w:val="en-GB" w:eastAsia="en-GB" w:bidi="en-GB"/>
              </w:rPr>
              <w:t xml:space="preserve">Experience of using new technologies to support the student experience.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ind w:left="0" w:firstLine="0"/>
              <w:rPr>
                <w:lang w:val="en-GB" w:eastAsia="en-GB" w:bidi="en-GB"/>
              </w:rPr>
            </w:pPr>
            <w:r>
              <w:rPr>
                <w:lang w:val="en-GB" w:eastAsia="en-GB" w:bidi="en-GB"/>
              </w:rPr>
              <w:t xml:space="preserve">Understanding of value for money management of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 w:line="240" w:lineRule="auto"/>
              <w:ind w:left="0" w:firstLine="0"/>
              <w:jc w:val="left"/>
              <w:rPr>
                <w:lang w:val="en-GB" w:eastAsia="en-GB" w:bidi="en-GB"/>
              </w:rPr>
            </w:pPr>
            <w:r>
              <w:rPr>
                <w:lang w:val="en-GB" w:eastAsia="en-GB" w:bidi="en-GB"/>
              </w:rPr>
              <w:t xml:space="preserve">service delivery, within a higher education service context.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 w:line="240" w:lineRule="auto"/>
              <w:ind w:left="0" w:firstLine="0"/>
              <w:jc w:val="left"/>
              <w:rPr>
                <w:lang w:val="en-GB" w:eastAsia="en-GB" w:bidi="en-GB"/>
              </w:rPr>
            </w:pPr>
            <w:r>
              <w:rPr>
                <w:lang w:val="en-GB" w:eastAsia="en-GB" w:bidi="en-GB"/>
              </w:rPr>
              <w:t xml:space="preserve">Knowledge of programme administration and exams office functions.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tc>
      </w:tr>
      <w:tr>
        <w:trPr>
          <w:trHeight w:val="3000" w:hRule="atLeast"/>
        </w:trPr>
        <w:tc>
          <w:tcPr>
            <w:tcW w:w="2036" w:type="dxa"/>
            <w:tcBorders>
              <w:right w:val="single" w:sz="8" w:space="0" w:color="000000"/>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ind w:left="0" w:firstLine="0"/>
              <w:jc w:val="left"/>
              <w:rPr>
                <w:lang w:val="en-GB" w:eastAsia="en-GB" w:bidi="en-GB"/>
              </w:rPr>
            </w:pPr>
          </w:p>
        </w:tc>
        <w:tc>
          <w:tcPr>
            <w:tcW w:w="3615" w:type="dxa"/>
            <w:tcBorders>
              <w:left w:val="single" w:sz="8" w:space="0" w:color="000000"/>
            </w:tcBorders>
            <w:shd w:val="clear" w:color="auto" w:fill="auto"/>
            <w:vAlign w:val="top"/>
          </w:tcPr>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0" w:firstLine="0"/>
              <w:jc w:val="left"/>
              <w:rPr>
                <w:lang w:val="en-GB" w:eastAsia="en-GB" w:bidi="en-GB"/>
              </w:rPr>
            </w:pPr>
            <w:r>
              <w:rPr>
                <w:lang w:val="en-GB" w:eastAsia="en-GB" w:bidi="en-GB"/>
              </w:rPr>
              <w:t xml:space="preserve">Outstanding organisational skills.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0" w:firstLine="0"/>
              <w:jc w:val="left"/>
              <w:rPr>
                <w:lang w:val="en-GB" w:eastAsia="en-GB" w:bidi="en-GB"/>
              </w:rPr>
            </w:pPr>
            <w:r>
              <w:rPr>
                <w:lang w:val="en-GB" w:eastAsia="en-GB" w:bidi="en-GB"/>
              </w:rPr>
              <w:t xml:space="preserve">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 w:firstLine="0"/>
              <w:jc w:val="left"/>
              <w:rPr>
                <w:lang w:val="en-GB" w:eastAsia="en-GB" w:bidi="en-GB"/>
              </w:rPr>
            </w:pPr>
            <w:r>
              <w:rPr>
                <w:lang w:val="en-GB" w:eastAsia="en-GB" w:bidi="en-GB"/>
              </w:rPr>
              <w:t xml:space="preserve">Experience of delivering to deadlines and of taking responsibility and ownership of projects.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0" w:firstLine="0"/>
              <w:jc w:val="left"/>
              <w:rPr>
                <w:lang w:val="en-GB" w:eastAsia="en-GB" w:bidi="en-GB"/>
              </w:rPr>
            </w:pPr>
            <w:r>
              <w:rPr>
                <w:lang w:val="en-GB" w:eastAsia="en-GB" w:bidi="en-GB"/>
              </w:rPr>
              <w:t xml:space="preserve">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0" w:firstLine="0"/>
              <w:jc w:val="left"/>
              <w:rPr>
                <w:lang w:val="en-GB" w:eastAsia="en-GB" w:bidi="en-GB"/>
              </w:rPr>
            </w:pPr>
            <w:r>
              <w:rPr>
                <w:lang w:val="en-GB" w:eastAsia="en-GB" w:bidi="en-GB"/>
              </w:rPr>
              <w:t xml:space="preserve">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2" w:lineRule="auto"/>
              <w:ind w:left="10" w:firstLine="0"/>
              <w:jc w:val="left"/>
              <w:rPr>
                <w:lang w:val="en-GB" w:eastAsia="en-GB" w:bidi="en-GB"/>
              </w:rPr>
            </w:pPr>
            <w:r>
              <w:rPr>
                <w:lang w:val="en-GB" w:eastAsia="en-GB" w:bidi="en-GB"/>
              </w:rPr>
              <w:t xml:space="preserve">Excellent IT skills – expert in using the Microsoft Office suite of software.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0" w:firstLine="0"/>
              <w:jc w:val="left"/>
              <w:rPr>
                <w:lang w:val="en-GB" w:eastAsia="en-GB" w:bidi="en-GB"/>
              </w:rPr>
            </w:pPr>
            <w:r>
              <w:rPr>
                <w:lang w:val="en-GB" w:eastAsia="en-GB" w:bidi="en-GB"/>
              </w:rPr>
              <w:t xml:space="preserve">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10" w:firstLine="0"/>
              <w:jc w:val="left"/>
              <w:rPr>
                <w:lang w:val="en-GB" w:eastAsia="en-GB" w:bidi="en-GB"/>
              </w:rPr>
            </w:pPr>
            <w:r>
              <w:rPr>
                <w:lang w:val="en-GB" w:eastAsia="en-GB" w:bidi="en-GB"/>
              </w:rPr>
              <w:t xml:space="preserve">Commitment to staff development and training. </w:t>
            </w:r>
          </w:p>
          <w:p>
            <w:pPr>
              <w:pStyle w:val="Normal"/>
              <w:tabs>
                <w:tab w:val="left" w:pos="1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10" w:firstLine="0"/>
              <w:jc w:val="left"/>
              <w:rPr>
                <w:lang w:val="en-GB" w:eastAsia="en-GB" w:bidi="en-GB"/>
              </w:rPr>
            </w:pPr>
            <w:r>
              <w:rPr>
                <w:lang w:val="en-GB" w:eastAsia="en-GB" w:bidi="en-GB"/>
              </w:rPr>
              <w:t xml:space="preserve"> </w:t>
            </w:r>
          </w:p>
        </w:tc>
        <w:tc>
          <w:tcPr>
            <w:tcW w:w="2652" w:type="dxa"/>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60" w:line="259" w:lineRule="auto"/>
              <w:ind w:left="0" w:firstLine="0"/>
              <w:jc w:val="left"/>
              <w:rPr>
                <w:lang w:val="en-GB" w:eastAsia="en-GB" w:bidi="en-GB"/>
              </w:rPr>
            </w:pPr>
          </w:p>
        </w:tc>
      </w:tr>
      <w:tr>
        <w:trPr>
          <w:trHeight w:val="3901" w:hRule="atLeast"/>
        </w:trPr>
        <w:tc>
          <w:tcPr>
            <w:tcW w:w="2036" w:type="dxa"/>
            <w:tcBorders>
              <w:right w:val="single" w:sz="8" w:space="0" w:color="000000"/>
            </w:tcBorders>
            <w:shd w:val="clear" w:color="auto" w:fill="auto"/>
            <w:vAlign w:val="top"/>
          </w:tcPr>
          <w:p>
            <w:pPr>
              <w:pStyle w:val="Normal"/>
              <w:tabs>
                <w:tab w:val="left" w:pos="36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5" w:firstLine="0"/>
              <w:jc w:val="left"/>
              <w:rPr>
                <w:lang w:val="en-GB" w:eastAsia="en-GB" w:bidi="en-GB"/>
              </w:rPr>
            </w:pPr>
            <w:r>
              <w:rPr>
                <w:lang w:val="en-GB" w:eastAsia="en-GB" w:bidi="en-GB"/>
              </w:rPr>
              <w:t xml:space="preserve">Other Skills and attributes </w:t>
            </w:r>
          </w:p>
        </w:tc>
        <w:tc>
          <w:tcPr>
            <w:tcW w:w="3615" w:type="dxa"/>
            <w:tcBorders>
              <w:left w:val="single" w:sz="8" w:space="0" w:color="000000"/>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left="0" w:firstLine="0"/>
              <w:jc w:val="left"/>
              <w:rPr>
                <w:lang w:val="en-GB" w:eastAsia="en-GB" w:bidi="en-GB"/>
              </w:rPr>
            </w:pPr>
            <w:r>
              <w:rPr>
                <w:lang w:val="en-GB" w:eastAsia="en-GB" w:bidi="en-GB"/>
              </w:rPr>
              <w:t xml:space="preserve">Personable and professional manner which inspires confidence in others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7"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8" w:lineRule="auto"/>
              <w:ind w:left="0" w:firstLine="0"/>
              <w:jc w:val="left"/>
              <w:rPr>
                <w:lang w:val="en-GB" w:eastAsia="en-GB" w:bidi="en-GB"/>
              </w:rPr>
            </w:pPr>
            <w:r>
              <w:rPr>
                <w:lang w:val="en-GB" w:eastAsia="en-GB" w:bidi="en-GB"/>
              </w:rPr>
              <w:t xml:space="preserve">Ability to motivate others especially in times of high demand and critical delivery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01"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line="240" w:lineRule="auto"/>
              <w:ind w:left="0" w:right="60" w:firstLine="0"/>
              <w:rPr>
                <w:lang w:val="en-GB" w:eastAsia="en-GB" w:bidi="en-GB"/>
              </w:rPr>
            </w:pPr>
            <w:r>
              <w:rPr>
                <w:lang w:val="en-GB" w:eastAsia="en-GB" w:bidi="en-GB"/>
              </w:rPr>
              <w:t xml:space="preserve">Confidence and ability to work independently using own initiative and discretion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76" w:lineRule="auto"/>
              <w:ind w:left="0" w:firstLine="0"/>
              <w:jc w:val="left"/>
              <w:rPr>
                <w:lang w:val="en-GB" w:eastAsia="en-GB" w:bidi="en-GB"/>
              </w:rPr>
            </w:pPr>
            <w:r>
              <w:rPr>
                <w:lang w:val="en-GB" w:eastAsia="en-GB" w:bidi="en-GB"/>
              </w:rPr>
              <w:t xml:space="preserve">Ability to be flexible and adaptive to changes in task allocation and areas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9" w:line="259" w:lineRule="auto"/>
              <w:ind w:left="0" w:firstLine="0"/>
              <w:jc w:val="left"/>
              <w:rPr>
                <w:lang w:val="en-GB" w:eastAsia="en-GB" w:bidi="en-GB"/>
              </w:rPr>
            </w:pPr>
            <w:r>
              <w:rPr>
                <w:lang w:val="en-GB" w:eastAsia="en-GB" w:bidi="en-GB"/>
              </w:rPr>
              <w:t xml:space="preserve">of responsibility </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0" w:firstLine="0"/>
              <w:jc w:val="left"/>
              <w:rPr>
                <w:lang w:val="en-GB" w:eastAsia="en-GB" w:bidi="en-GB"/>
              </w:rPr>
            </w:pPr>
            <w:r>
              <w:rPr>
                <w:lang w:val="en-GB" w:eastAsia="en-GB" w:bidi="en-GB"/>
              </w:rPr>
              <w:t xml:space="preserve"> </w:t>
            </w:r>
          </w:p>
        </w:tc>
        <w:tc>
          <w:tcPr>
            <w:tcW w:w="2652" w:type="dxa"/>
            <w:shd w:val="clear" w:color="auto" w:fill="auto"/>
            <w:vAlign w:val="top"/>
          </w:tcPr>
          <w:p>
            <w:pPr>
              <w:pStyle w:val="Normal"/>
              <w:tabs>
                <w:tab w:val="left" w:pos="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76" w:lineRule="auto"/>
              <w:ind w:left="5" w:right="58" w:firstLine="0"/>
              <w:rPr>
                <w:lang w:val="en-GB" w:eastAsia="en-GB" w:bidi="en-GB"/>
              </w:rPr>
            </w:pPr>
            <w:r>
              <w:rPr>
                <w:lang w:val="en-GB" w:eastAsia="en-GB" w:bidi="en-GB"/>
              </w:rPr>
              <w:t xml:space="preserve">Adaptable to the demands of working in an area of rapid change and development, and an understanding of these within a HE context  </w:t>
            </w:r>
          </w:p>
          <w:p>
            <w:pPr>
              <w:pStyle w:val="Normal"/>
              <w:tabs>
                <w:tab w:val="left" w:pos="36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5" w:firstLine="0"/>
              <w:jc w:val="left"/>
              <w:rPr>
                <w:lang w:val="en-GB" w:eastAsia="en-GB" w:bidi="en-GB"/>
              </w:rPr>
            </w:pPr>
            <w:r>
              <w:rPr>
                <w:lang w:val="en-GB" w:eastAsia="en-GB" w:bidi="en-GB"/>
              </w:rPr>
              <w:t xml:space="preserve"> </w:t>
            </w:r>
          </w:p>
        </w:tc>
      </w:tr>
      <w:tr>
        <w:trPr>
          <w:trHeight w:val="821" w:hRule="atLeast"/>
        </w:trPr>
        <w:tc>
          <w:tcPr>
            <w:tcW w:w="2036" w:type="dxa"/>
            <w:tcBorders>
              <w:right w:val="single" w:sz="8" w:space="0" w:color="000000"/>
            </w:tcBorders>
            <w:shd w:val="clear" w:color="auto" w:fill="auto"/>
            <w:vAlign w:val="top"/>
          </w:tcPr>
          <w:p>
            <w:pPr>
              <w:pStyle w:val="Normal"/>
              <w:tabs>
                <w:tab w:val="left" w:pos="36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5" w:firstLine="0"/>
              <w:jc w:val="left"/>
              <w:rPr>
                <w:lang w:val="en-GB" w:eastAsia="en-GB" w:bidi="en-GB"/>
              </w:rPr>
            </w:pPr>
            <w:r>
              <w:rPr>
                <w:lang w:val="en-GB" w:eastAsia="en-GB" w:bidi="en-GB"/>
              </w:rPr>
              <w:t xml:space="preserve">Circumstances </w:t>
            </w:r>
          </w:p>
        </w:tc>
        <w:tc>
          <w:tcPr>
            <w:tcW w:w="3615" w:type="dxa"/>
            <w:tcBorders>
              <w:left w:val="single" w:sz="8" w:space="0" w:color="000000"/>
            </w:tcBorders>
            <w:shd w:val="clear" w:color="auto" w:fill="auto"/>
            <w:vAlign w:val="top"/>
          </w:tcPr>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right="56" w:firstLine="0"/>
              <w:rPr>
                <w:lang w:val="en-GB" w:eastAsia="en-GB" w:bidi="en-GB"/>
              </w:rPr>
            </w:pPr>
            <w:r>
              <w:rPr>
                <w:lang w:val="en-GB" w:eastAsia="en-GB" w:bidi="en-GB"/>
              </w:rPr>
              <w:t xml:space="preserve">Willingness to work outside normal working hours when required by business need </w:t>
            </w:r>
          </w:p>
        </w:tc>
        <w:tc>
          <w:tcPr>
            <w:tcW w:w="2652" w:type="dxa"/>
            <w:shd w:val="clear" w:color="auto" w:fill="auto"/>
            <w:vAlign w:val="top"/>
          </w:tcPr>
          <w:p>
            <w:pPr>
              <w:pStyle w:val="Normal"/>
              <w:tabs>
                <w:tab w:val="left" w:pos="365"/>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59" w:lineRule="auto"/>
              <w:ind w:left="365" w:firstLine="0"/>
              <w:jc w:val="left"/>
              <w:rPr>
                <w:lang w:val="en-GB" w:eastAsia="en-GB" w:bidi="en-GB"/>
              </w:rPr>
            </w:pPr>
            <w:r>
              <w:rPr>
                <w:lang w:val="en-GB" w:eastAsia="en-GB" w:bidi="en-GB"/>
              </w:rPr>
              <w:t xml:space="preserve"> </w:t>
            </w:r>
          </w:p>
        </w:tc>
      </w:tr>
    </w:tbl>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Terms &amp; Conditions </w:t>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Our Terms and Conditions of Employment can be viewed </w:t>
      </w:r>
      <w:r>
        <w:rPr>
          <w:color w:val="0563C1"/>
          <w:u w:val="single"/>
          <w:lang w:val="en-GB" w:eastAsia="en-GB" w:bidi="en-GB"/>
        </w:rPr>
        <w:fldChar w:fldCharType="begin"/>
      </w:r>
      <w:r>
        <w:rPr>
          <w:color w:val="0563C1"/>
          <w:u w:val="single"/>
          <w:lang w:val="en-GB" w:eastAsia="en-GB" w:bidi="en-GB"/>
        </w:rPr>
        <w:instrText xml:space="preserve"> HYPERLINK "https://www.exeter.ac.uk/staff/employment/payandconditions/conditions/terms/" </w:instrText>
      </w:r>
      <w:r>
        <w:rPr>
          <w:color w:val="0563C1"/>
          <w:u w:val="single"/>
          <w:lang w:val="en-GB" w:eastAsia="en-GB" w:bidi="en-GB"/>
        </w:rPr>
        <w:fldChar w:fldCharType="separate"/>
      </w:r>
      <w:r>
        <w:rPr>
          <w:color w:val="0563C1"/>
          <w:u w:val="single"/>
          <w:lang w:val="en-GB" w:eastAsia="en-GB" w:bidi="en-GB"/>
        </w:rPr>
        <w:t xml:space="preserve">here</w:t>
      </w:r>
      <w:r>
        <w:rPr>
          <w:lang w:val="en-GB" w:eastAsia="en-GB" w:bidi="en-GB"/>
        </w:rPr>
        <w:fldChar w:fldCharType="end"/>
      </w:r>
      <w:r>
        <w:rPr>
          <w:lang w:val="en-GB" w:eastAsia="en-GB" w:bidi="en-GB"/>
        </w:rPr>
        <w:fldChar w:fldCharType="begin"/>
      </w:r>
      <w:r>
        <w:rPr>
          <w:lang w:val="en-GB" w:eastAsia="en-GB" w:bidi="en-GB"/>
        </w:rPr>
        <w:instrText xml:space="preserve"> HYPERLINK "https://www.exeter.ac.uk/staff/employment/payandconditions/conditions/terms/" </w:instrText>
      </w:r>
      <w:r>
        <w:rPr>
          <w:lang w:val="en-GB" w:eastAsia="en-GB" w:bidi="en-GB"/>
        </w:rPr>
        <w:fldChar w:fldCharType="separate"/>
      </w:r>
      <w:r>
        <w:rPr>
          <w:lang w:val="en-GB" w:eastAsia="en-GB" w:bidi="en-GB"/>
        </w:rPr>
        <w:t xml:space="preserve">.</w:t>
      </w:r>
      <w:r>
        <w:rPr>
          <w:lang w:val="en-GB" w:eastAsia="en-GB" w:bidi="en-GB"/>
        </w:rPr>
        <w:fldChar w:fldCharType="end"/>
      </w:r>
      <w:r>
        <w:rPr>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59" w:lineRule="auto"/>
        <w:ind w:left="0" w:firstLine="0"/>
        <w:jc w:val="left"/>
        <w:rPr>
          <w:lang w:val="en-GB" w:eastAsia="en-GB" w:bidi="en-GB"/>
        </w:rPr>
      </w:pPr>
      <w:r>
        <w:rPr>
          <w:b/>
          <w:bCs/>
          <w:lang w:val="en-GB" w:eastAsia="en-GB" w:bidi="en-GB"/>
        </w:rPr>
        <w:t xml:space="preserve"> </w:t>
      </w:r>
    </w:p>
    <w:p>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Further Information </w:t>
      </w:r>
      <w:r>
        <w:rPr>
          <w:b w:val="off"/>
          <w:bCs w:val="off"/>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r>
        <w:rPr>
          <w:lang w:val="en-GB" w:eastAsia="en-GB" w:bidi="en-GB"/>
        </w:rPr>
        <w:t xml:space="preserve">Please see our </w:t>
      </w:r>
      <w:r>
        <w:rPr>
          <w:color w:val="0563C1"/>
          <w:u w:val="single"/>
          <w:lang w:val="en-GB" w:eastAsia="en-GB" w:bidi="en-GB"/>
        </w:rPr>
        <w:fldChar w:fldCharType="begin"/>
      </w:r>
      <w:r>
        <w:rPr>
          <w:color w:val="0563C1"/>
          <w:u w:val="single"/>
          <w:lang w:val="en-GB" w:eastAsia="en-GB" w:bidi="en-GB"/>
        </w:rPr>
        <w:instrText xml:space="preserve"> HYPERLINK "https://www.exeter.ac.uk/about/prospective/" </w:instrText>
      </w:r>
      <w:r>
        <w:rPr>
          <w:color w:val="0563C1"/>
          <w:u w:val="single"/>
          <w:lang w:val="en-GB" w:eastAsia="en-GB" w:bidi="en-GB"/>
        </w:rPr>
        <w:fldChar w:fldCharType="separate"/>
      </w:r>
      <w:r>
        <w:rPr>
          <w:color w:val="0563C1"/>
          <w:u w:val="single"/>
          <w:lang w:val="en-GB" w:eastAsia="en-GB" w:bidi="en-GB"/>
        </w:rPr>
        <w:t xml:space="preserve">website</w:t>
      </w:r>
      <w:r>
        <w:rPr>
          <w:lang w:val="en-GB" w:eastAsia="en-GB" w:bidi="en-GB"/>
        </w:rPr>
        <w:fldChar w:fldCharType="end"/>
      </w:r>
      <w:r>
        <w:rPr>
          <w:lang w:val="en-GB" w:eastAsia="en-GB" w:bidi="en-GB"/>
        </w:rPr>
        <w:fldChar w:fldCharType="begin"/>
      </w:r>
      <w:r>
        <w:rPr>
          <w:lang w:val="en-GB" w:eastAsia="en-GB" w:bidi="en-GB"/>
        </w:rPr>
        <w:instrText xml:space="preserve"> HYPERLINK "https://www.exeter.ac.uk/about/prospective/" </w:instrText>
      </w:r>
      <w:r>
        <w:rPr>
          <w:lang w:val="en-GB" w:eastAsia="en-GB" w:bidi="en-GB"/>
        </w:rPr>
        <w:fldChar w:fldCharType="separate"/>
      </w:r>
      <w:r>
        <w:rPr>
          <w:lang w:val="en-GB" w:eastAsia="en-GB" w:bidi="en-GB"/>
        </w:rPr>
        <w:t xml:space="preserve"> </w:t>
      </w:r>
      <w:r>
        <w:rPr>
          <w:lang w:val="en-GB" w:eastAsia="en-GB" w:bidi="en-GB"/>
        </w:rPr>
        <w:fldChar w:fldCharType="end"/>
      </w:r>
      <w:r>
        <w:rPr>
          <w:lang w:val="en-GB" w:eastAsia="en-GB" w:bidi="en-GB"/>
        </w:rPr>
        <w:t xml:space="preserve">for further information on working at the University of Exeter.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rPr>
          <w:lang w:val="en-GB" w:eastAsia="en-GB" w:bidi="en-GB"/>
        </w:rPr>
      </w:pPr>
    </w:p>
    <w:sectPr>
      <w:pgSz w:w="11906" w:h="16838"/>
      <w:pgMar w:top="1134" w:right="1797" w:bottom="1298" w:left="1798" w:header="720" w:footer="720"/>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Segoe UI">
    <w:panose1 w:val="020B0502040204020203"/>
    <w:charset w:val="00"/>
    <w:family w:val="swiss"/>
    <w:pitch w:val="variable"/>
    <w:sig w:usb0="E4002EFF" w:usb1="C000E47F" w:usb2="00000009" w:usb3="00000000" w:csb0="200001FF" w:csb1="00000000"/>
  </w:font>
  <w:font w:name="Segoe UI Symbol">
    <w:panose1 w:val="020B0502040204020203"/>
    <w:charset w:val="00"/>
    <w:family w:val="swiss"/>
    <w:pitch w:val="variable"/>
    <w:sig w:usb0="800001E3" w:usb1="1200FFEF" w:usb2="00040000" w:usb3="04000000" w:csb0="00000001" w:csb1="40000000"/>
  </w:font>
  <w:font w:name="Ariall">
    <w:charset w:val="00"/>
    <w:family w:val="auto"/>
    <w:pitch w:val="default"/>
  </w:font>
</w:fonts>
</file>

<file path=word/numbering.xml><?xml version="1.0" encoding="utf-8"?>
<w:numbering xmlns:w="http://schemas.openxmlformats.org/wordprocessingml/2006/main">
  <w:abstractNum w:abstractNumId="0">
    <w:multiLevelType w:val="singleLevel"/>
    <w:lvl w:ilvl="0">
      <w:start w:val="1"/>
      <w:numFmt w:val="bullet"/>
      <w:suff w:val="tab"/>
      <w:lvlText w:val="•"/>
      <w:pPr>
        <w:ind w:left="705" w:hanging="360"/>
        <w:tabs>
          <w:tab w:val="num" w:pos="705"/>
        </w:tabs>
      </w:pPr>
      <w:rPr>
        <w:rFonts w:hint="default" w:ascii="Ariall" w:hAnsi="Ariall" w:eastAsia="Ariall" w:cs="Ariall"/>
        <w:b w:val="off"/>
        <w:i w:val="off"/>
        <w:strike w:val="off"/>
        <w:color w:val="000000"/>
        <w:position w:val="0"/>
        <w:sz w:val="20"/>
        <w:u w:val="none"/>
        <w:shd w:val="clear" w:color="auto" w:fill="auto"/>
      </w:rPr>
    </w:lvl>
  </w:abstractNum>
  <w:num w:numId="1">
    <w:abstractNumId w:val="0"/>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ind w:left="0" w:firstLine="0"/>
      <w:jc w:val="left"/>
    </w:pPr>
    <w:rPr>
      <w:color w:val="auto"/>
      <w:lang w:val="en-GB" w:eastAsia="en-GB" w:bidi="en-GB"/>
    </w:rPr>
  </w:style>
  <w:style w:type="paragraph" w:styleId="Normal">
    <w:name w:val="Normal"/>
    <w:next w:val="Normal"/>
    <w:qFormat/>
    <w:pPr>
      <w:widowControl w:val="on"/>
      <w:shd w:val="clear" w:color="auto" w:fill="auto"/>
      <w:spacing w:before="0" w:after="26" w:line="250" w:lineRule="auto"/>
      <w:ind w:left="370" w:right="0" w:hanging="370"/>
      <w:jc w:val="both"/>
      <w:outlineLvl w:val="9"/>
    </w:pPr>
    <w:rPr>
      <w:rFonts w:ascii="Arial" w:hAnsi="Arial" w:eastAsia="Arial" w:cs="Arial"/>
      <w:b w:val="off"/>
      <w:bCs w:val="off"/>
      <w:i w:val="off"/>
      <w:iCs w:val="off"/>
      <w:caps w:val="off"/>
      <w:smallCaps w:val="off"/>
      <w:strike w:val="off"/>
      <w:color w:val="000000"/>
      <w:spacing w:val="0"/>
      <w:w w:val="100"/>
      <w:position w:val="0"/>
      <w:sz w:val="20"/>
      <w:szCs w:val="20"/>
      <w:shd w:val="clear" w:color="auto" w:fill="auto"/>
      <w:vertAlign w:val="baseline"/>
      <w:rtl w:val="off"/>
      <w:lang w:val="en-GB" w:eastAsia="en-GB" w:bidi="en-GB"/>
    </w:rPr>
  </w:style>
  <w:style w:type="paragraph" w:styleId="Heading1">
    <w:name w:val="heading 1"/>
    <w:basedOn w:val="[Normal]"/>
    <w:next w:val="Normal"/>
    <w:qFormat/>
    <w:pPr>
      <w:keepNext/>
      <w:keepLines/>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line="259" w:lineRule="auto"/>
      <w:ind w:left="10" w:hanging="10"/>
      <w:outlineLvl w:val="0"/>
    </w:pPr>
    <w:rPr>
      <w:b/>
      <w:bCs/>
      <w:color w:val="000000"/>
      <w:lang w:val="en-GB" w:eastAsia="en-GB" w:bidi="en-GB"/>
    </w:rPr>
  </w:style>
  <w:style w:type="paragraph" w:styleId="Heading2">
    <w:name w:val="heading 2"/>
    <w:basedOn w:val="[Normal]"/>
    <w:next w:val="Normal"/>
    <w:qFormat/>
    <w:pPr>
      <w:keepNext/>
      <w:keepLines/>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spacing w:line="259" w:lineRule="auto"/>
      <w:ind w:left="10" w:hanging="10"/>
      <w:outlineLvl w:val="1"/>
    </w:pPr>
    <w:rPr>
      <w:b/>
      <w:bCs/>
      <w:color w:val="000000"/>
      <w:u w:val="single"/>
      <w:lang w:val="en-GB" w:eastAsia="en-GB" w:bidi="en-GB"/>
    </w:rPr>
  </w:style>
  <w:style w:type="character" w:styleId="Heading 1 Char" w:customStyle="1">
    <w:name w:val="Heading 1 Char"/>
    <w:qFormat/>
    <w:rPr>
      <w:rFonts w:ascii="Arial" w:hAnsi="Arial" w:eastAsia="Arial" w:cs="Arial"/>
      <w:b/>
      <w:bCs/>
      <w:color w:val="000000"/>
      <w:sz w:val="20"/>
      <w:szCs w:val="20"/>
      <w:rtl w:val="off"/>
    </w:rPr>
  </w:style>
  <w:style w:type="character" w:styleId="Heading 2 Char" w:customStyle="1">
    <w:name w:val="Heading 2 Char"/>
    <w:qFormat/>
    <w:rPr>
      <w:rFonts w:ascii="Arial" w:hAnsi="Arial" w:eastAsia="Arial" w:cs="Arial"/>
      <w:b/>
      <w:bCs/>
      <w:color w:val="000000"/>
      <w:sz w:val="20"/>
      <w:szCs w:val="20"/>
      <w:u w:val="single"/>
      <w:rtl w:val="off"/>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6" Type="http://schemas.openxmlformats.org/officeDocument/2006/relationships/image" Target="media/image0001.png"/>
	<Relationship Id="rId00007" Type="http://schemas.openxmlformats.org/officeDocument/2006/relationships/numbering" Target="numbering.xml"/>
	<Relationship Id="rId00008" Type="http://schemas.openxmlformats.org/officeDocument/2006/relationships/fontTable" Target="fontTable.xml"/>
	<Relationship Id="rId0000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University of Exeter</dc:creator>
  <dcterms:created xsi:type="dcterms:W3CDTF">2026-10-26T16:35:00Z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10c9de11-94e2-40ae-81e2-725fafa4b1f5</vt:lpwstr>
  </property>
</Properties>
</file>