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lang w:val="en-GB" w:eastAsia="en-GB" w:bidi="en-GB"/>
        </w:rPr>
        <w:drawing>
          <wp:inline distT="0" distB="0" distL="0" distR="0">
            <wp:extent cx="1593850" cy="1733550"/>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1593850" cy="173355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mc:AlternateContent>
          <mc:Choice Requires="wps">
            <w:drawing>
              <wp:anchor distT="0" distB="0" distL="114300" distR="114300" simplePos="0" relativeHeight="251659263" behindDoc="0" locked="0" layoutInCell="1" hidden="0" allowOverlap="1">
                <wp:simplePos x="0" y="0"/>
                <wp:positionH relativeFrom="column">
                  <wp:posOffset>7</wp:posOffset>
                </wp:positionH>
                <wp:positionV relativeFrom="paragraph">
                  <wp:posOffset>127372</wp:posOffset>
                </wp:positionV>
                <wp:extent cx="6296013" cy="561"/>
                <wp:wrapNone/>
                <wp:docPr id="2" name="Line 66"/>
                <a:graphic xmlns:a="http://schemas.openxmlformats.org/drawingml/2006/main">
                  <a:graphicData uri="http://schemas.microsoft.com/office/word/2010/wordprocessingShape">
                    <wps:wsp>
                      <wps:cNvSpPr/>
                      <wps:spPr>
                        <a:xfrm flipV="1">
                          <a:off x="0" y="0"/>
                          <a:ext cx="6296013" cy="561"/>
                        </a:xfrm>
                        <a:prstGeom prst="line"/>
                        <a:solidFill>
                          <a:srgbClr val="FFFFFF">
                            <a:alpha val="0"/>
                          </a:srgbClr>
                        </a:solidFill>
                        <a:ln w="9525">
                          <a:solidFill>
                            <a:srgbClr val="000000"/>
                          </a:solidFill>
                        </a:ln>
                      </wps:spPr>
                      <wps:bodyPr/>
                      <a:extLst>
                        <a:ext uri="{A2A0BA46-8DB7-4952-BFCE-B747086F0524}">
                          <tx19:NetControl tx23:val="drawing" tx23:pict="rId00007"/>
                        </a:ext>
                      </a:extLst>
                    </wps:wsp>
                  </a:graphicData>
                </a:graphic>
              </wp:anchor>
            </w:drawing>
          </mc:Choice>
        </mc:AlternateConten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8"/>
          <w:szCs w:val="28"/>
          <w:u w:val="none"/>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Faculty/Service:</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Education and Student Support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Post:			Education Support Assistant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1237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Grade:</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C</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		Education Support Advisor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Responsible For:	N/A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Organisational context and reporting line: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 collaboration with the academic Faculties, the Education and Student Support (ESS) Directorate </w:t>
      </w:r>
      <w:r>
        <w:rPr>
          <w:rFonts w:ascii="Arial" w:hAnsi="Arial" w:eastAsia="Arial" w:cs="Arial"/>
          <w:color w:val="000000"/>
          <w:sz w:val="20"/>
          <w:szCs w:val="20"/>
          <w:lang w:val="en-US" w:eastAsia="en-US" w:bidi="en-US"/>
        </w:rPr>
        <w:t xml:space="preserve">provides all of the key administration and education support activities that underpin the student experience from Welcome Week to Graduation.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role is within the Education Support Team which provides the core and critical operational support for teaching administration and support for delivery of all University of Exeter taught programmes for Undergraduate and Postgraduate Taught students. This is a large team of approximately 150 staff working across multiple “hub” locations and three campus locations.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The Education Support Team is responsible for providing an excellent experience for staff and students for teaching support. This includes acting as the first line of enquiry for all student queries concerning teaching administration; and supporting both students and academic staff with processes that support the teaching delivery cycle such as: facilitating coursework submission and return; maintaining student records; module selection support and module and programme changes; administration of student mitigation requests and mitigation committees; and facilitation of Assessment, Progression and Awarding Committees (Exam Boards).  On a day-to-day basis, the work of the Education Support Assistant will be managed by an Education Support Advisor who will have responsibility for a range of education operational delivery and who will be line-managed by an Education Support 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 a first responder for student enquiries, you will be responsible for contributing towards an excellent student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jc w:val="both"/>
        <w:rPr>
          <w:rFonts w:ascii="Arial" w:hAnsi="Arial" w:eastAsia="Arial" w:cs="Arial"/>
          <w:color w:val="000000"/>
          <w:sz w:val="20"/>
          <w:szCs w:val="20"/>
          <w:lang w:val="en-GB" w:eastAsia="en-GB" w:bidi="en-GB"/>
        </w:rPr>
      </w:pPr>
      <w:r>
        <w:rPr>
          <w:rFonts w:ascii="Arial" w:hAnsi="Arial" w:eastAsia="Arial" w:cs="Arial"/>
          <w:color w:val="000000"/>
          <w:sz w:val="20"/>
          <w:szCs w:val="20"/>
          <w:lang w:val="en-GB" w:eastAsia="en-GB" w:bidi="en-GB"/>
        </w:rPr>
        <w:t xml:space="preserve">This role is expected to provide an excellent first-line enquiry and standard transaction education support service for students and academic teaching staff, to provide high-quality general administration support as required for all taught programmes, and to work effectively within the wider administrative team to deliver a seamless and high-quality service. This role will be allocated to a “hub” location but all role-holders in the context of Education Services are expected to have a flexible and adaptive attitude and may be asked to provide critical support across all activities or locations in order to meet peak demand needs across the service when these occur.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 as a first point of contact for internal and external enquirers, including face-to-face, telephone and online enquiries, maintaining the highest standards of customer service. Responding to, triaging, or resolving enquiries appropriately.</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Effectively manage and prioritise incoming enquiries, ensuring that service level expectations are maintained.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Accurately process and input data and maintain records relevant to the role, such as maintaining student data in the Student Record system, including entering student marks and managing module enrolments and changes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Provide effective administrative support for programme delivery, such as processing examination scripts, setting up assessment records and releasing student marks and feedback.</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 Support the processing of student requests for mitigation, including signposting to support services, updating assessment records and responding to students, within service level expectations.</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and enhance the student experience across the student lifecycle where appropriate to the role, and in support of Directorate objectives. Suggest improvements and be responsible for their implementation where directed.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Use systems and software effectively and efficiently, adhering to any relevant compliance and undertaking training as offered and required.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Ensure processes, procedures and codes of practice are adhered to and best practice is followed and shared where relevant.</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a central information point for Education Services; collating and updating relevant information through a variety of media, including website maintenance where required.</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Maintain a working knowledge of Education Support processes and policies, including for assessment, mitigation, module and programme enrolments and progression and award, , being able to signpost these to others and provide support to staff and students as required. </w:t>
      </w:r>
    </w:p>
    <w:p>
      <w:pPr>
        <w:pStyle w:val="ListParagraph"/>
        <w:numPr>
          <w:ilvl w:val="0"/>
          <w:numId w:val="1"/>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Accountability/ responsibility for discrete areas of work, as delegated by your line manager or other senior stakeholders.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u w:val="single"/>
          <w:lang w:val="en-GB" w:eastAsia="en-GB" w:bidi="en-GB"/>
        </w:rPr>
      </w:pPr>
      <w:r>
        <w:rPr>
          <w:rFonts w:ascii="Arial" w:hAnsi="Arial" w:eastAsia="Arial" w:cs="Arial"/>
          <w:sz w:val="20"/>
          <w:szCs w:val="20"/>
          <w:u w:val="single"/>
          <w:lang w:val="en-GB" w:eastAsia="en-GB" w:bidi="en-GB"/>
        </w:rPr>
        <w:t xml:space="preserve">All role holders at Grade C are expected to: </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Work under direction within a team, and collaboratively within and across teams within the Directorate</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Liaise with internal and external stakeholders as required, building and developing effective communications and working relationships. </w:t>
      </w:r>
    </w:p>
    <w:p>
      <w:pPr>
        <w:pStyle w:val="ListParagraph"/>
        <w:numPr>
          <w:ilvl w:val="0"/>
          <w:numId w:val="2"/>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line="276" w:lineRule="auto"/>
        <w:ind w:left="36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Provide administrative support for areas such as a project, system, set of procedures, website, event, student facing activity, of the Directorate, or act in general administrative support role for a team or group.</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u w:val="none"/>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672"/>
        <w:gridCol w:w="6792"/>
      </w:tblGrid>
      <w:tr>
        <w:tc>
          <w:tcPr>
            <w:tcW w:w="267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b/>
                <w:bCs/>
                <w:color w:val="auto"/>
                <w:sz w:val="20"/>
                <w:szCs w:val="20"/>
                <w:lang w:val="en-US" w:eastAsia="en-US" w:bidi="en-US"/>
              </w:rPr>
            </w:pPr>
            <w:r>
              <w:rPr>
                <w:rFonts w:ascii="Arial" w:hAnsi="Arial" w:eastAsia="Arial" w:cs="Arial"/>
                <w:b/>
                <w:bCs/>
                <w:color w:val="auto"/>
                <w:sz w:val="20"/>
                <w:szCs w:val="20"/>
                <w:lang w:val="en-US" w:eastAsia="en-US" w:bidi="en-US"/>
              </w:rPr>
              <w:t xml:space="preserve">COMPETENCY</w:t>
            </w:r>
          </w:p>
        </w:tc>
        <w:tc>
          <w:tcPr>
            <w:tcW w:w="679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US" w:eastAsia="en-US" w:bidi="en-US"/>
              </w:rPr>
            </w:pPr>
            <w:r>
              <w:rPr>
                <w:rFonts w:ascii="Arial" w:hAnsi="Arial" w:eastAsia="Arial" w:cs="Arial"/>
                <w:b/>
                <w:bCs/>
                <w:sz w:val="20"/>
                <w:szCs w:val="20"/>
                <w:lang w:val="en-US" w:eastAsia="en-US" w:bidi="en-US"/>
              </w:rPr>
              <w:t xml:space="preserve">ESSENTIAL CRITERIA</w:t>
            </w:r>
          </w:p>
        </w:tc>
      </w:tr>
      <w:tr>
        <w:tc>
          <w:tcPr>
            <w:tcW w:w="267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0"/>
                <w:szCs w:val="20"/>
                <w:lang w:val="en-US" w:eastAsia="en-US" w:bidi="en-US"/>
              </w:rPr>
            </w:pPr>
            <w:r>
              <w:rPr>
                <w:rFonts w:ascii="Arial" w:hAnsi="Arial" w:eastAsia="Arial" w:cs="Arial"/>
                <w:color w:val="auto"/>
                <w:sz w:val="20"/>
                <w:szCs w:val="20"/>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6792" w:type="dxa"/>
            <w:shd w:val="clear" w:color="auto" w:fill="auto"/>
            <w:vAlign w:val="top"/>
          </w:tcPr>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Educated to GCSE with an A* – C in Maths and English or equivalent experience.</w:t>
            </w:r>
          </w:p>
          <w:p>
            <w:pPr>
              <w:pStyle w:val="ListParagraph"/>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rPr>
                <w:rFonts w:ascii="Arial" w:hAnsi="Arial" w:eastAsia="Arial" w:cs="Arial"/>
                <w:sz w:val="20"/>
                <w:szCs w:val="20"/>
                <w:lang w:val="en-US" w:eastAsia="en-US" w:bidi="en-US"/>
              </w:rPr>
            </w:pPr>
          </w:p>
        </w:tc>
      </w:tr>
      <w:tr>
        <w:tc>
          <w:tcPr>
            <w:tcW w:w="267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0"/>
                <w:szCs w:val="20"/>
                <w:lang w:val="en-US" w:eastAsia="en-US" w:bidi="en-US"/>
              </w:rPr>
            </w:pPr>
            <w:r>
              <w:rPr>
                <w:rFonts w:ascii="Arial" w:hAnsi="Arial" w:eastAsia="Arial" w:cs="Arial"/>
                <w:color w:val="auto"/>
                <w:sz w:val="20"/>
                <w:szCs w:val="20"/>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6792" w:type="dxa"/>
            <w:shd w:val="clear" w:color="auto" w:fill="auto"/>
            <w:vAlign w:val="top"/>
          </w:tcPr>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Excellent organisational and planning skills and the ability to prioritise and meet deadlines under pressure.</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High levels of accuracy and attention to detail.</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Fast and accurate database inputting skills and experience of maintaining and using a database for retrieval of information. </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Ability to communicate effectively with precision and accuracy in person, in writing and email, and by telephone with a diverse range of people.</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Excellent IT skills including proficiency in MS Office (especially, Excel, Word and PowerPoint) and web-based programmes. </w:t>
            </w:r>
          </w:p>
        </w:tc>
      </w:tr>
      <w:tr>
        <w:tc>
          <w:tcPr>
            <w:tcW w:w="267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0"/>
                <w:szCs w:val="20"/>
                <w:lang w:val="en-US" w:eastAsia="en-US" w:bidi="en-US"/>
              </w:rPr>
            </w:pPr>
            <w:r>
              <w:rPr>
                <w:rFonts w:ascii="Arial" w:hAnsi="Arial" w:eastAsia="Arial" w:cs="Arial"/>
                <w:color w:val="auto"/>
                <w:sz w:val="20"/>
                <w:szCs w:val="20"/>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6792" w:type="dxa"/>
            <w:shd w:val="clear" w:color="auto" w:fill="auto"/>
            <w:vAlign w:val="top"/>
          </w:tcPr>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Experience of delivering excellent customer service and managing difficult customer encounters.</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Experience of working collaboratively and proactively in a team and with multiple team members to deliver multiple objectives and high service standards.</w:t>
            </w:r>
          </w:p>
        </w:tc>
      </w:tr>
      <w:tr>
        <w:tc>
          <w:tcPr>
            <w:tcW w:w="267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0"/>
                <w:szCs w:val="20"/>
                <w:lang w:val="en-US" w:eastAsia="en-US" w:bidi="en-US"/>
              </w:rPr>
            </w:pPr>
            <w:r>
              <w:rPr>
                <w:rFonts w:ascii="Arial" w:hAnsi="Arial" w:eastAsia="Arial" w:cs="Arial"/>
                <w:color w:val="auto"/>
                <w:sz w:val="20"/>
                <w:szCs w:val="20"/>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6792" w:type="dxa"/>
            <w:shd w:val="clear" w:color="auto" w:fill="auto"/>
            <w:vAlign w:val="top"/>
          </w:tcPr>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Ability to be flexible and deal with frequent interruptions whilst maintaining focus and accuracy. </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Ability to present a professional image of the University of Exeter at all times.</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 keen interest in building skills, experience and a career in administration and customer services.</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Confidence and ability to work independently with appropriate supervision.</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Ability to be flexible and adaptive to changes in task allocation and areas of responsibility</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GB" w:eastAsia="en-GB" w:bidi="en-GB"/>
              </w:rPr>
              <w:t xml:space="preserve">Self-motivated with a willingness to learn and actively seek training and development.</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Ability to remain calm under pressure and demonstrate resilience in the workplace.</w:t>
            </w:r>
          </w:p>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Ability to show empathy and sensitivity for customers and a desire to seek the best possible outcome for them. </w:t>
            </w:r>
          </w:p>
        </w:tc>
      </w:tr>
      <w:tr>
        <w:tc>
          <w:tcPr>
            <w:tcW w:w="2672"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color w:val="auto"/>
                <w:sz w:val="20"/>
                <w:szCs w:val="20"/>
                <w:lang w:val="en-US" w:eastAsia="en-US" w:bidi="en-US"/>
              </w:rPr>
            </w:pPr>
            <w:r>
              <w:rPr>
                <w:rFonts w:ascii="Arial" w:hAnsi="Arial" w:eastAsia="Arial" w:cs="Arial"/>
                <w:color w:val="auto"/>
                <w:sz w:val="20"/>
                <w:szCs w:val="20"/>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6792" w:type="dxa"/>
            <w:shd w:val="clear" w:color="auto" w:fill="auto"/>
            <w:vAlign w:val="top"/>
          </w:tcPr>
          <w:p>
            <w:pPr>
              <w:pStyle w:val="ListParagraph"/>
              <w:numPr>
                <w:ilvl w:val="0"/>
                <w:numId w:val="3"/>
              </w:numPr>
              <w:tabs>
                <w:tab w:val="left" w:pos="40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04" w:hanging="283"/>
              <w:rPr>
                <w:rFonts w:ascii="Arial" w:hAnsi="Arial" w:eastAsia="Arial" w:cs="Arial"/>
                <w:sz w:val="20"/>
                <w:szCs w:val="20"/>
                <w:lang w:val="en-US" w:eastAsia="en-US" w:bidi="en-US"/>
              </w:rPr>
            </w:pPr>
            <w:r>
              <w:rPr>
                <w:rFonts w:ascii="Arial" w:hAnsi="Arial" w:eastAsia="Arial" w:cs="Arial"/>
                <w:sz w:val="20"/>
                <w:szCs w:val="20"/>
                <w:lang w:val="en-US" w:eastAsia="en-US" w:bidi="en-US"/>
              </w:rPr>
              <w:t xml:space="preserve">Willingness to work outside normal working hours when required by business need (paid as overtime with prior arrangement).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none"/>
          <w:lang w:val="en-GB" w:eastAsia="en-GB" w:bidi="en-GB"/>
        </w:rPr>
      </w:pPr>
    </w:p>
    <w:sectPr>
      <w:footerReference w:type="default" r:id="rId00008"/>
      <w:footerReference w:type="first" r:id="rId00009"/>
      <w:pgSz w:w="11907" w:h="16840"/>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Verdana">
    <w:panose1 w:val="020B0604030504040204"/>
    <w:charset w:val="00"/>
    <w:family w:val="swiss"/>
    <w:pitch w:val="variable"/>
    <w:sig w:usb0="A00006FF" w:usb1="4000205B" w:usb2="00000010" w:usb3="00000000" w:csb0="2000019F" w:csb1="00000000"/>
  </w:font>
  <w:font w:name="MS Sans Serif">
    <w:charset w:val="00"/>
    <w:family w:val="swiss"/>
    <w:pitch w:val="variable"/>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clear" w:pos="8306"/>
        <w:tab w:val="right" w:pos="9639"/>
      </w:tabs>
      <w:rPr>
        <w:i/>
        <w:iCs/>
        <w:sz w:val="18"/>
        <w:szCs w:val="18"/>
        <w:lang w:val="en-GB" w:eastAsia="en-GB" w:bidi="en-GB"/>
      </w:rPr>
    </w:pPr>
    <w:r>
      <w:rPr>
        <w:i/>
        <w:iCs/>
        <w:sz w:val="18"/>
        <w:szCs w:val="18"/>
        <w:lang w:val="en-GB" w:eastAsia="en-GB" w:bidi="en-GB"/>
      </w:rPr>
      <w:t xml:space="preserve">	</w:t>
    </w:r>
  </w:p>
  <w:p>
    <w:pPr>
      <w:pStyle w:val="Footer"/>
      <w:tabs>
        <w:tab w:val="clear" w:pos="8306"/>
        <w:tab w:val="right" w:pos="9639"/>
      </w:tabs>
      <w:jc w:val="center"/>
      <w:rPr>
        <w:i/>
        <w:iCs/>
        <w:sz w:val="18"/>
        <w:szCs w:val="18"/>
        <w:lang w:val="en-US" w:eastAsia="en-US" w:bidi="en-US"/>
      </w:rPr>
    </w:pPr>
    <w:r>
      <w:rPr>
        <w:i/>
        <w:iCs/>
        <w:sz w:val="18"/>
        <w:szCs w:val="18"/>
        <w:lang w:val="en-US" w:eastAsia="en-US" w:bidi="en-US"/>
      </w:rPr>
      <w:t xml:space="preserve">Page </w:t>
    </w:r>
    <w:r>
      <w:rPr>
        <w:i/>
        <w:iCs/>
        <w:noProof/>
        <w:sz w:val="18"/>
        <w:szCs w:val="18"/>
        <w:lang w:val="en-US" w:eastAsia="en-US" w:bidi="en-US"/>
      </w:rPr>
      <w:fldChar w:fldCharType="begin"/>
    </w:r>
    <w:r>
      <w:rPr>
        <w:i/>
        <w:iCs/>
        <w:noProof/>
        <w:sz w:val="18"/>
        <w:szCs w:val="18"/>
        <w:lang w:val="en-US" w:eastAsia="en-US" w:bidi="en-US"/>
      </w:rPr>
      <w:instrText xml:space="preserve"> PAGE \* Arabic \* MERGEFORMAT </w:instrText>
    </w:r>
    <w:r>
      <w:rPr>
        <w:i/>
        <w:iCs/>
        <w:noProof/>
        <w:sz w:val="18"/>
        <w:szCs w:val="18"/>
        <w:lang w:val="en-US" w:eastAsia="en-US" w:bidi="en-US"/>
      </w:rPr>
      <w:fldChar w:fldCharType="separate"/>
    </w:r>
    <w:r>
      <w:rPr>
        <w:i/>
        <w:iCs/>
        <w:sz w:val="18"/>
        <w:szCs w:val="18"/>
        <w:lang w:val="en-US" w:eastAsia="en-US" w:bidi="en-US"/>
      </w:rPr>
      <w:fldChar w:fldCharType="end"/>
    </w:r>
    <w:r>
      <w:rPr>
        <w:i/>
        <w:iCs/>
        <w:sz w:val="18"/>
        <w:szCs w:val="18"/>
        <w:lang w:val="en-US" w:eastAsia="en-US" w:bidi="en-US"/>
      </w:rPr>
      <w:t xml:space="preserve"> of </w:t>
    </w:r>
    <w:r>
      <w:rPr>
        <w:i/>
        <w:iCs/>
        <w:noProof/>
        <w:sz w:val="18"/>
        <w:szCs w:val="18"/>
        <w:lang w:val="en-US" w:eastAsia="en-US" w:bidi="en-US"/>
      </w:rPr>
      <w:fldChar w:fldCharType="begin"/>
    </w:r>
    <w:r>
      <w:rPr>
        <w:i/>
        <w:iCs/>
        <w:noProof/>
        <w:sz w:val="18"/>
        <w:szCs w:val="18"/>
        <w:lang w:val="en-US" w:eastAsia="en-US" w:bidi="en-US"/>
      </w:rPr>
      <w:instrText xml:space="preserve"> NUMPAGES \* Arabic \* MERGEFORMAT </w:instrText>
    </w:r>
    <w:r>
      <w:rPr>
        <w:i/>
        <w:iCs/>
        <w:noProof/>
        <w:sz w:val="18"/>
        <w:szCs w:val="18"/>
        <w:lang w:val="en-US" w:eastAsia="en-US" w:bidi="en-US"/>
      </w:rPr>
      <w:fldChar w:fldCharType="separate"/>
    </w:r>
    <w:r>
      <w:rPr>
        <w:i/>
        <w:iCs/>
        <w:sz w:val="18"/>
        <w:szCs w:val="18"/>
        <w:lang w:val="en-US" w:eastAsia="en-US" w:bidi="en-US"/>
      </w:rPr>
      <w:fldChar w:fldCharType="end"/>
    </w:r>
  </w:p>
  <w:p>
    <w:pPr>
      <w:pStyle w:val="Footer"/>
      <w:tabs>
        <w:tab w:val="clear" w:pos="8306"/>
        <w:tab w:val="right" w:pos="9639"/>
      </w:tabs>
      <w:jc w:val="center"/>
      <w:rPr>
        <w:i/>
        <w:iCs/>
        <w:sz w:val="18"/>
        <w:szCs w:val="18"/>
        <w:lang w:val="en-US" w:eastAsia="en-US" w:bidi="en-US"/>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8"/>
        <w:tab w:val="clear" w:pos="10206"/>
        <w:tab w:val="clear" w:pos="11340"/>
        <w:tab w:val="clear" w:pos="12474"/>
        <w:tab w:val="left" w:pos="17010"/>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decimal"/>
      <w:suff w:val="tab"/>
      <w:lvlText w:val="%1."/>
      <w:pPr>
        <w:ind w:left="360" w:hanging="360"/>
        <w:tabs>
          <w:tab w:val="num" w:pos="360"/>
        </w:tabs>
      </w:pPr>
      <w:rPr>
        <w:rFonts w:hint="default" w:ascii="Arial" w:hAnsi="Arial" w:eastAsia="Arial" w:cs="Arial"/>
        <w:b w:val="off"/>
        <w:i w:val="off"/>
        <w:strike w:val="off"/>
        <w:color w:val="auto"/>
        <w:position w:val="0"/>
        <w:sz w:val="20"/>
        <w:u w:val="none"/>
        <w:shd w:val="clear" w:color="auto" w:fill="auto"/>
      </w:rPr>
    </w:lvl>
  </w:abstractNum>
  <w:abstractNum w:abstractNumId="1">
    <w:multiLevelType w:val="singleLevel"/>
    <w:lvl w:ilvl="0">
      <w:start w:val="1"/>
      <w:numFmt w:val="bullet"/>
      <w:suff w:val="tab"/>
      <w:lvlText w:val=""/>
      <w:pPr>
        <w:ind w:left="360" w:hanging="360"/>
        <w:tabs>
          <w:tab w:val="num" w:pos="360"/>
        </w:tabs>
      </w:pPr>
      <w:rPr>
        <w:rFonts w:hint="default" w:ascii="Symbol" w:hAnsi="Symbol" w:eastAsia="Symbol" w:cs="Symbol"/>
        <w:b w:val="off"/>
        <w:i w:val="off"/>
        <w:strike w:val="off"/>
        <w:color w:val="auto"/>
        <w:position w:val="0"/>
        <w:sz w:val="20"/>
        <w:u w:val="none"/>
        <w:shd w:val="clear" w:color="auto" w:fill="auto"/>
      </w:rPr>
    </w:lvl>
  </w:abstractNum>
  <w:abstractNum w:abstractNumId="2">
    <w:multiLevelType w:val="singleLevel"/>
    <w:lvl w:ilvl="0">
      <w:start w:val="1"/>
      <w:numFmt w:val="bullet"/>
      <w:suff w:val="tab"/>
      <w:lvlText w:val=""/>
      <w:pPr>
        <w:ind w:left="404" w:hanging="283"/>
        <w:tabs>
          <w:tab w:val="num" w:pos="404"/>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BodyText">
    <w:name w:val="Body Text"/>
    <w:basedOn w:val="Normal"/>
    <w:next w:val="BodyText"/>
    <w:qFormat/>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CommentText">
    <w:name w:val="annotation text"/>
    <w:basedOn w:val="Normal"/>
    <w:next w:val="CommentText"/>
    <w:qFormat/>
    <w:pPr/>
    <w:rPr>
      <w:sz w:val="20"/>
      <w:szCs w:val="20"/>
      <w:lang w:val="en-GB" w:eastAsia="en-GB" w:bidi="en-GB"/>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Comment Text Char" w:customStyle="1">
    <w:name w:val="Comment Text Char"/>
    <w:qFormat/>
    <w:rPr>
      <w:rtl w:val="off"/>
      <w:lang w:val="en-GB" w:eastAsia="en-GB" w:bidi="en-GB"/>
    </w:rPr>
  </w:style>
  <w:style w:type="character" w:styleId="CommentReference">
    <w:name w:val="annotation reference"/>
    <w:qFormat/>
    <w:rPr>
      <w:sz w:val="16"/>
      <w:szCs w:val="16"/>
      <w:rtl w:val="off"/>
    </w:rPr>
  </w:style>
  <w:style w:type="character" w:styleId="List Paragraph Char" w:customStyle="1">
    <w:name w:val="List Paragraph Char"/>
    <w:qFormat/>
    <w:rPr>
      <w:sz w:val="22"/>
      <w:szCs w:val="22"/>
      <w:rtl w:val="off"/>
      <w:lang w:val="en-GB" w:eastAsia="en-GB" w:bidi="en-GB"/>
    </w:rPr>
  </w:style>
  <w:style w:type="paragraph" w:styleId="Revision">
    <w:name w:val="Revision"/>
    <w:basedOn w:val="[Normal]"/>
    <w:next w:val="Revision"/>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8" Type="http://schemas.openxmlformats.org/officeDocument/2006/relationships/footer" Target="footer0001.xml"/>
	<Relationship Id="rId00009" Type="http://schemas.openxmlformats.org/officeDocument/2006/relationships/footer" Target="footer0001_first.xml"/>
	<Relationship Id="rId00006" Type="http://schemas.openxmlformats.org/officeDocument/2006/relationships/image" Target="media/image0001.png"/>
	<Relationship Id="rId00007" Type="http://schemas.openxmlformats.org/officeDocument/2006/relationships/image" Target="media/image0002.emf"/>
	<Relationship Id="rId00010" Type="http://schemas.openxmlformats.org/officeDocument/2006/relationships/numbering" Target="numbering.xml"/>
	<Relationship Id="rId00011" Type="http://schemas.openxmlformats.org/officeDocument/2006/relationships/fontTable" Target="fontTable.xml"/>
	<Relationship Id="rId000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Kelly, Shelley</dc:creator>
  <dcterms:created xsi:type="dcterms:W3CDTF">2023-11-20T13:34:00Z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9559aaba5cb82277e1248c7dc55678824d797c68477f6c0ff6fe7cad8c0a89db</vt:lpwstr>
  </property>
</Properties>
</file>