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drawing>
          <wp:anchor distT="0" distB="0" distL="0" distR="0" simplePos="0" relativeHeight="251660287" behindDoc="0" locked="0" layoutInCell="1" hidden="0" allowOverlap="1">
            <wp:simplePos x="0" y="0"/>
            <wp:positionH relativeFrom="column">
              <wp:align>left</wp:align>
            </wp:positionH>
            <wp:positionV relativeFrom="paragraph">
              <wp:posOffset>0</wp:posOffset>
            </wp:positionV>
            <wp:extent cx="990600" cy="971550"/>
            <wp:wrapSquare wrapText="bothSides"/>
            <wp:docPr id="1" name="_tx_id_1_"/>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990600" cy="971550"/>
                    </a:xfrm>
                    <a:prstGeom prst="rect">
                      <a:avLst/>
                    </a:prstGeom>
                  </pic:spPr>
                </pic:pic>
              </a:graphicData>
            </a:graphic>
          </wp:anchor>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eastAsia="Times New Roman" w:cs="Times New Roman"/>
          <w:sz w:val="36"/>
          <w:szCs w:val="36"/>
          <w:lang w:val="en-US" w:eastAsia="en-US" w:bidi="en-US"/>
        </w:rPr>
      </w:pPr>
      <w:r>
        <w:rPr>
          <w:rFonts w:ascii="Times New Roman" w:hAnsi="Times New Roman" w:eastAsia="Times New Roman" w:cs="Times New Roman"/>
          <w:color w:val="053B39"/>
          <w:sz w:val="36"/>
          <w:szCs w:val="36"/>
          <w:lang w:val="en-US" w:eastAsia="en-US" w:bidi="en-US"/>
        </w:rPr>
        <w:br w:type="textWrapping"/>
      </w:r>
      <w:r>
        <w:rPr>
          <w:rFonts w:ascii="Arial" w:hAnsi="Arial" w:eastAsia="Arial" w:cs="Arial"/>
          <w:color w:val="053B39"/>
          <w:sz w:val="36"/>
          <w:szCs w:val="36"/>
          <w:lang w:val="en-US" w:eastAsia="en-US" w:bidi="en-US"/>
        </w:rPr>
        <w:t xml:space="preserve">University of Exeter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mc:AlternateContent>
          <mc:Choice Requires="wps">
            <w:drawing>
              <wp:anchor distT="0" distB="0" distL="114300" distR="114300" simplePos="0" relativeHeight="251659263" behindDoc="0" locked="0" layoutInCell="1" hidden="0" allowOverlap="1">
                <wp:simplePos x="0" y="0"/>
                <wp:positionH relativeFrom="column">
                  <wp:posOffset>7</wp:posOffset>
                </wp:positionH>
                <wp:positionV relativeFrom="paragraph">
                  <wp:posOffset>122815</wp:posOffset>
                </wp:positionV>
                <wp:extent cx="6296013" cy="37"/>
                <wp:wrapNone/>
                <wp:docPr id="2" name="Straight Connector 2"/>
                <a:graphic xmlns:a="http://schemas.openxmlformats.org/drawingml/2006/main">
                  <a:graphicData uri="http://schemas.microsoft.com/office/word/2010/wordprocessingShape">
                    <wps:wsp>
                      <wps:cNvSpPr/>
                      <wps:spPr>
                        <a:xfrm flipV="1">
                          <a:off x="0" y="0"/>
                          <a:ext cx="6296013" cy="37"/>
                        </a:xfrm>
                        <a:prstGeom prst="line"/>
                        <a:solidFill>
                          <a:srgbClr val="FFFFFF">
                            <a:alpha val="0"/>
                          </a:srgbClr>
                        </a:solidFill>
                        <a:ln w="9525">
                          <a:solidFill>
                            <a:srgbClr val="000000"/>
                          </a:solidFill>
                        </a:ln>
                      </wps:spPr>
                      <wps:bodyPr/>
                      <a:extLst>
                        <a:ext uri="{A2A0BA46-8DB7-4952-BFCE-B747086F0524}">
                          <tx19:NetControl tx23:val="drawing" tx23:pict="rId00007"/>
                        </a:ext>
                      </a:extLst>
                    </wps:wsp>
                  </a:graphicData>
                </a:graphic>
              </wp:anchor>
            </w:drawing>
          </mc:Choice>
        </mc:AlternateConten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u w:val="non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bookmarkStart w:id="2" w:name="job"/>
    <w:bookmarkEnd w:id="2"/>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THE POST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Service:		Education and Academic Services - Wellbeing Services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Post:			 Wellbeing Advisor (Triage and Outreach 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Reference No:		2115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Grade:			</w:t>
      </w:r>
      <w:bookmarkStart w:id="1" w:name="Text43"/>
      <w:r>
        <w:rPr>
          <w:rFonts w:ascii="Arial" w:hAnsi="Arial" w:eastAsia="Arial" w:cs="Arial"/>
          <w:b/>
          <w:bCs/>
          <w:sz w:val="20"/>
          <w:szCs w:val="20"/>
          <w:lang w:val="en-GB" w:eastAsia="en-GB" w:bidi="en-GB"/>
        </w:rPr>
        <w:t xml:space="preserve">Grade E </w:t>
      </w:r>
      <w:bookmarkEnd w:id="1"/>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Reporting To:		Wellbeing Services Pathway Lead (Triage and Outreach)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Responsible For:	N/A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above full time post is immediately available in the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color w:val="FF0000"/>
          <w:sz w:val="20"/>
          <w:szCs w:val="20"/>
          <w:lang w:val="en-GB" w:eastAsia="en-GB" w:bidi="en-GB"/>
        </w:rPr>
      </w:pPr>
      <w:r>
        <w:rPr>
          <w:rFonts w:ascii="Arial" w:hAnsi="Arial" w:eastAsia="Arial" w:cs="Arial"/>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One full time post is available immediately on a Fixed Term (12 Month) Contract.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Health and wellbeing are crucial ingredients of effective study and play a key role in helping students enjoy a rich and fulfilling student experience. Our Wellbeing Centre provides a base where we aim to help students with emotional and mental health difficulties succeed in their studies and make the most of the opportunities offered by a new and diverse learning environment.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Wellbeing Centre has been established to provide a range of health promotion events on campus, as well as to develop illness prevention and intervention services. Our vision is to offer accessible and flexible support for the whole range of wellbeing issues that can impact upon student learning.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We are looking for enthusiastic and dynamic staff who can contribute to our vision for Wellbeing Services through offering comprehensive initial triage appointments to our diverse student community while advancing our University-wide outreach work. We currently seek to offer 140 initial triage appointments per week. Initial Triage Appointments (Drop-Ins) provide space for a student to share their difficulties and create an action plan with a practitioner to move forward. You will be skilled at identifying wellbeing needs, triaging, identifying and assessing risk, referring to specialist services accordingly, including liaison and case coordination with other departments – both internal to Wellbeing Services, the wider University and External services. You will be an experienced practitioner within the wellbeing/welfare field who has a thoughtful and adaptable approach to your work, with a real interest in sensitively supporting students with potentially complex difficulties. You will have a passion for early-intervention and supporting the wider service Outreach work to encourage students to reach out for mental health and wellbeing support.  A DBS Check will need to be completed.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This role is a key student-facing role where visibility on campus will be key. However, in line with Service Policy, hybrid-working will be available depending on the needs of the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For further information, please contact Laura Delamar, Wellbeing Services Pathway Lead for Triage and Outreach. Email: </w:t>
      </w:r>
      <w:r>
        <w:rPr>
          <w:rStyle w:val="Hyperlink"/>
          <w:rFonts w:ascii="Arial" w:hAnsi="Arial" w:eastAsia="Arial" w:cs="Arial"/>
          <w:sz w:val="20"/>
          <w:szCs w:val="20"/>
          <w:lang w:val="en-GB" w:eastAsia="en-GB" w:bidi="en-GB"/>
        </w:rPr>
        <w:fldChar w:fldCharType="begin"/>
      </w:r>
      <w:r>
        <w:rPr>
          <w:rStyle w:val="Hyperlink"/>
          <w:rFonts w:ascii="Arial" w:hAnsi="Arial" w:eastAsia="Arial" w:cs="Arial"/>
          <w:sz w:val="20"/>
          <w:szCs w:val="20"/>
          <w:lang w:val="en-GB" w:eastAsia="en-GB" w:bidi="en-GB"/>
        </w:rPr>
        <w:instrText xml:space="preserve"> HYPERLINK "mailto:L.A.Delamar@exeter.ac.uk" </w:instrText>
      </w:r>
      <w:r>
        <w:rPr>
          <w:rStyle w:val="Hyperlink"/>
          <w:rFonts w:ascii="Arial" w:hAnsi="Arial" w:eastAsia="Arial" w:cs="Arial"/>
          <w:sz w:val="20"/>
          <w:szCs w:val="20"/>
          <w:lang w:val="en-GB" w:eastAsia="en-GB" w:bidi="en-GB"/>
        </w:rPr>
        <w:fldChar w:fldCharType="separate"/>
      </w:r>
      <w:r>
        <w:rPr>
          <w:rStyle w:val="Hyperlink"/>
          <w:rFonts w:ascii="Arial" w:hAnsi="Arial" w:eastAsia="Arial" w:cs="Arial"/>
          <w:sz w:val="20"/>
          <w:szCs w:val="20"/>
          <w:lang w:val="en-GB" w:eastAsia="en-GB" w:bidi="en-GB"/>
        </w:rPr>
        <w:t xml:space="preserve">L.A.Delamar@exeter.ac.uk</w:t>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color w:val="0070C0"/>
          <w:sz w:val="20"/>
          <w:szCs w:val="20"/>
          <w:lang w:val="en-GB" w:eastAsia="en-GB" w:bidi="en-GB"/>
        </w:rPr>
      </w:pPr>
      <w:r>
        <w:rPr>
          <w:rFonts w:ascii="Arial" w:hAnsi="Arial" w:eastAsia="Arial" w:cs="Arial"/>
          <w:color w:val="0070C0"/>
          <w:sz w:val="20"/>
          <w:szCs w:val="20"/>
          <w:lang w:val="en-GB" w:eastAsia="en-GB" w:bidi="en-GB"/>
        </w:rPr>
        <w:br w:type="textWrapping"/>
      </w:r>
      <w:r>
        <w:rPr>
          <w:rFonts w:ascii="Arial" w:hAnsi="Arial" w:eastAsia="Arial" w:cs="Arial"/>
          <w:color w:val="0070C0"/>
          <w:sz w:val="20"/>
          <w:szCs w:val="20"/>
          <w:lang w:val="en-GB" w:eastAsia="en-GB" w:bidi="en-GB"/>
        </w:rPr>
        <w:br w:type="textWrapping"/>
      </w:r>
      <w:r>
        <w:rPr>
          <w:rFonts w:ascii="Arial" w:hAnsi="Arial" w:eastAsia="Arial" w:cs="Arial"/>
          <w:b/>
          <w:bCs/>
          <w:sz w:val="20"/>
          <w:szCs w:val="20"/>
          <w:u w:val="single"/>
          <w:lang w:val="en-GB" w:eastAsia="en-GB" w:bidi="en-GB"/>
        </w:rPr>
        <w:t xml:space="preserve">Main purpose of the job:</w:t>
      </w:r>
      <w:r>
        <w:rPr>
          <w:rFonts w:ascii="Arial" w:hAnsi="Arial" w:eastAsia="Arial" w:cs="Arial"/>
          <w:color w:val="0070C0"/>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color w:val="0070C0"/>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Our new Triage and Outreach team of Wellbeing Advisors will be responsible for the coordination and delivery of Initial triage appointments (Drop-Ins) for Wellbeing Services. </w:t>
        <w:br w:type="textWrapp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Your role will require you: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seek to enhance rapid-access for students seeking support from Wellbeing Services through the coordinating and delivery of Triage Appointments within a clinical framework.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deliver a professional, comprehensive and thoughtful response to students attending Drop-In appointments, listening to their concerns, creating an action plan to support their needs and coordinating their onward support/care.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offer students a holistic approach to mental health and wellbeing where all the factors that impinge on individual wellbeing are taken into account.</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triage students to the most appropriate support pathway for their needs, including risk screening and appropriate coordination of support.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make appropriate onward referrals to relevant, specialist internal and external services.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contribute to Wellbeing Services outreach work designed to encourage and foster open communication within mental health and wellbeing. This may include presenting to a diverse range of groups about the role of Wellbeing Services.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u w:val="single"/>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b/>
          <w:bCs/>
          <w:sz w:val="20"/>
          <w:szCs w:val="20"/>
          <w:u w:val="single"/>
          <w:lang w:val="en-GB" w:eastAsia="en-GB" w:bidi="en-GB"/>
        </w:rPr>
      </w:pPr>
      <w:r>
        <w:rPr>
          <w:rFonts w:ascii="Arial" w:hAnsi="Arial" w:eastAsia="Arial" w:cs="Arial"/>
          <w:sz w:val="20"/>
          <w:szCs w:val="20"/>
          <w:lang w:val="en-GB" w:eastAsia="en-GB" w:bidi="en-GB"/>
        </w:rPr>
        <w:t xml:space="preserve">To work as an autonomous practitioner and provide high quality complex triage using knowledge, skills, critical thinking and professional judgement support by clinical assessment tools. </w:t>
        <w:br w:type="textWrapping"/>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b/>
          <w:bCs/>
          <w:sz w:val="20"/>
          <w:szCs w:val="20"/>
          <w:u w:val="single"/>
          <w:lang w:val="en-GB" w:eastAsia="en-GB" w:bidi="en-GB"/>
        </w:rPr>
      </w:pPr>
      <w:r>
        <w:rPr>
          <w:rFonts w:ascii="Arial" w:hAnsi="Arial" w:eastAsia="Arial" w:cs="Arial"/>
          <w:sz w:val="20"/>
          <w:szCs w:val="20"/>
          <w:lang w:val="en-GB" w:eastAsia="en-GB" w:bidi="en-GB"/>
        </w:rPr>
        <w:t xml:space="preserve">To review incoming symptom-based, health, mental and wellbeing information and assess for urgency and priority.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u w:val="single"/>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b/>
          <w:bCs/>
          <w:sz w:val="20"/>
          <w:szCs w:val="20"/>
          <w:u w:val="single"/>
          <w:lang w:val="en-GB" w:eastAsia="en-GB" w:bidi="en-GB"/>
        </w:rPr>
      </w:pPr>
      <w:r>
        <w:rPr>
          <w:rFonts w:ascii="Arial" w:hAnsi="Arial" w:eastAsia="Arial" w:cs="Arial"/>
          <w:sz w:val="20"/>
          <w:szCs w:val="20"/>
          <w:lang w:val="en-GB" w:eastAsia="en-GB" w:bidi="en-GB"/>
        </w:rPr>
        <w:t xml:space="preserve">To offer initial evidence-based interventions to students through the triage appointment system.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b/>
          <w:bCs/>
          <w:sz w:val="20"/>
          <w:szCs w:val="20"/>
          <w:u w:val="single"/>
          <w:lang w:val="en-GB" w:eastAsia="en-GB" w:bidi="en-GB"/>
        </w:rPr>
      </w:pPr>
      <w:r>
        <w:rPr>
          <w:rFonts w:ascii="Arial" w:hAnsi="Arial" w:eastAsia="Arial" w:cs="Arial"/>
          <w:sz w:val="20"/>
          <w:szCs w:val="20"/>
          <w:lang w:val="en-GB" w:eastAsia="en-GB" w:bidi="en-GB"/>
        </w:rPr>
        <w:t xml:space="preserve">Plan and deliver a highly skilled, experienced and comprehensive first-line triaging response to students seeking support with their mental health or wellbeing.</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b/>
          <w:bCs/>
          <w:sz w:val="20"/>
          <w:szCs w:val="20"/>
          <w:u w:val="single"/>
          <w:lang w:val="en-GB" w:eastAsia="en-GB" w:bidi="en-GB"/>
        </w:rPr>
      </w:pPr>
      <w:r>
        <w:rPr>
          <w:rFonts w:ascii="Arial" w:hAnsi="Arial" w:eastAsia="Arial" w:cs="Arial"/>
          <w:sz w:val="20"/>
          <w:szCs w:val="20"/>
          <w:lang w:val="en-GB" w:eastAsia="en-GB" w:bidi="en-GB"/>
        </w:rPr>
        <w:t xml:space="preserve">Undertake triage and risk screening for those seeking support and facilitate onward referrals to other professionals, including clinicians, using informed and strategic decision making. </w:t>
        <w:br w:type="textWrapping"/>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b/>
          <w:bCs/>
          <w:sz w:val="20"/>
          <w:szCs w:val="20"/>
          <w:u w:val="single"/>
          <w:lang w:val="en-GB" w:eastAsia="en-GB" w:bidi="en-GB"/>
        </w:rPr>
      </w:pPr>
      <w:r>
        <w:rPr>
          <w:rFonts w:ascii="Arial" w:hAnsi="Arial" w:eastAsia="Arial" w:cs="Arial"/>
          <w:sz w:val="20"/>
          <w:szCs w:val="20"/>
          <w:lang w:val="en-GB" w:eastAsia="en-GB" w:bidi="en-GB"/>
        </w:rPr>
        <w:t xml:space="preserve">Identifying relevant clinical and non-clinical options for further intervention including accurately identifying significant mental health or wellbeing needs and making relevant referrals to appropriate urgent support – both internal and external to the University Wellbeing Service.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u w:val="single"/>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u w:val="single"/>
          <w:lang w:val="en-GB" w:eastAsia="en-GB" w:bidi="en-GB"/>
        </w:rPr>
      </w:pPr>
      <w:r>
        <w:rPr>
          <w:rFonts w:ascii="Arial" w:hAnsi="Arial" w:eastAsia="Arial" w:cs="Arial"/>
          <w:sz w:val="20"/>
          <w:szCs w:val="20"/>
          <w:lang w:val="en-GB" w:eastAsia="en-GB" w:bidi="en-GB"/>
        </w:rPr>
        <w:t xml:space="preserve">Coordinate onward support through service liaison – both internally and through statutory services. </w:t>
        <w:br w:type="textWrapping"/>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sz w:val="20"/>
          <w:szCs w:val="20"/>
          <w:u w:val="single"/>
          <w:lang w:val="en-GB" w:eastAsia="en-GB" w:bidi="en-GB"/>
        </w:rPr>
      </w:pPr>
      <w:r>
        <w:rPr>
          <w:rFonts w:ascii="Arial" w:hAnsi="Arial" w:eastAsia="Arial" w:cs="Arial"/>
          <w:sz w:val="20"/>
          <w:szCs w:val="20"/>
          <w:lang w:val="en-GB" w:eastAsia="en-GB" w:bidi="en-GB"/>
        </w:rPr>
        <w:t xml:space="preserve">Utilise proactive networking and partnership with relevant specialist agencies to lead on service knowledge and understanding of support services available to students within both the University, statutory services and the third sector.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u w:val="single"/>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sz w:val="20"/>
          <w:szCs w:val="20"/>
          <w:u w:val="single"/>
          <w:lang w:val="en-GB" w:eastAsia="en-GB" w:bidi="en-GB"/>
        </w:rPr>
      </w:pPr>
      <w:r>
        <w:rPr>
          <w:rFonts w:ascii="Arial" w:hAnsi="Arial" w:eastAsia="Arial" w:cs="Arial"/>
          <w:sz w:val="20"/>
          <w:szCs w:val="20"/>
          <w:lang w:val="en-GB" w:eastAsia="en-GB" w:bidi="en-GB"/>
        </w:rPr>
        <w:t xml:space="preserve">Undertake liaison and coordination with other support services – both internal and external –, to ensure comprehensive student wellbeing support.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u w:val="single"/>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sz w:val="20"/>
          <w:szCs w:val="20"/>
          <w:u w:val="single"/>
          <w:lang w:val="en-GB" w:eastAsia="en-GB" w:bidi="en-GB"/>
        </w:rPr>
      </w:pPr>
      <w:r>
        <w:rPr>
          <w:rFonts w:ascii="Arial" w:hAnsi="Arial" w:eastAsia="Arial" w:cs="Arial"/>
          <w:sz w:val="20"/>
          <w:szCs w:val="20"/>
          <w:lang w:val="en-GB" w:eastAsia="en-GB" w:bidi="en-GB"/>
        </w:rPr>
        <w:t xml:space="preserve">To provide professional expertise as required to Wellbeing Services colleagues delivering initial appointments in response to complex triage presentations.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u w:val="single"/>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sz w:val="20"/>
          <w:szCs w:val="20"/>
          <w:u w:val="single"/>
          <w:lang w:val="en-GB" w:eastAsia="en-GB" w:bidi="en-GB"/>
        </w:rPr>
      </w:pPr>
      <w:r>
        <w:rPr>
          <w:rFonts w:ascii="Arial" w:hAnsi="Arial" w:eastAsia="Arial" w:cs="Arial"/>
          <w:sz w:val="20"/>
          <w:szCs w:val="20"/>
          <w:lang w:val="en-GB" w:eastAsia="en-GB" w:bidi="en-GB"/>
        </w:rPr>
        <w:t xml:space="preserve">To professionally manage appointments in a calm, professional manner treating all clients with dignity and respect at all times.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u w:val="single"/>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sz w:val="20"/>
          <w:szCs w:val="20"/>
          <w:u w:val="single"/>
          <w:lang w:val="en-GB" w:eastAsia="en-GB" w:bidi="en-GB"/>
        </w:rPr>
      </w:pPr>
      <w:r>
        <w:rPr>
          <w:rFonts w:ascii="Arial" w:hAnsi="Arial" w:eastAsia="Arial" w:cs="Arial"/>
          <w:sz w:val="20"/>
          <w:szCs w:val="20"/>
          <w:lang w:val="en-GB" w:eastAsia="en-GB" w:bidi="en-GB"/>
        </w:rPr>
        <w:t xml:space="preserve">To be able and confident to identify the need and take action to modify and adapt method of communication to account for differing needs of service users, especially in situations of high stress/distress.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u w:val="single"/>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Reflect the diversity of needs within the student community by utilising all available resources to facilitate access to the service where there may be barriers to communication and understanding</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u w:val="single"/>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sz w:val="20"/>
          <w:szCs w:val="20"/>
          <w:u w:val="single"/>
          <w:lang w:val="en-GB" w:eastAsia="en-GB" w:bidi="en-GB"/>
        </w:rPr>
      </w:pPr>
      <w:r>
        <w:rPr>
          <w:rFonts w:ascii="Arial" w:hAnsi="Arial" w:eastAsia="Arial" w:cs="Arial"/>
          <w:sz w:val="20"/>
          <w:szCs w:val="20"/>
          <w:lang w:val="en-GB" w:eastAsia="en-GB" w:bidi="en-GB"/>
        </w:rPr>
        <w:t xml:space="preserve">Professionally respond to highly emotive, highly distressed and/or verbally aggressive service users and defuse situations where appropriate.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u w:val="single"/>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During frequent intense periods of demand, prioritise tasks and undertake numerous tasks simultaneously to ensure effective service delivery.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jc w:val="both"/>
        <w:rPr>
          <w:rFonts w:ascii="Arial" w:hAnsi="Arial" w:eastAsia="Arial" w:cs="Arial"/>
          <w:sz w:val="20"/>
          <w:szCs w:val="20"/>
          <w:lang w:val="en-GB" w:eastAsia="en-GB" w:bidi="en-GB"/>
        </w:rPr>
      </w:pPr>
    </w:p>
    <w:p>
      <w:pPr>
        <w:pStyle w:val="BodyTex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ensure good record-keeping practices are upheld in line with service, departmental and professional requirements.  To provide reports as necessary and in accord with service protocols.</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jc w:val="both"/>
        <w:rPr>
          <w:rFonts w:ascii="Arial" w:hAnsi="Arial" w:eastAsia="Arial" w:cs="Arial"/>
          <w:sz w:val="20"/>
          <w:szCs w:val="20"/>
          <w:lang w:val="en-GB" w:eastAsia="en-GB" w:bidi="en-GB"/>
        </w:rPr>
      </w:pPr>
    </w:p>
    <w:p>
      <w:pPr>
        <w:pStyle w:val="BodyTex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support Outreach with a focus on Equality, Diversity and Inclusion and actively engaging those students statistically less likely to seek support from Wellbeing Services/statistically more vulnerable to clinical risk. </w:t>
        <w:br w:type="textWrapping"/>
      </w:r>
    </w:p>
    <w:p>
      <w:pPr>
        <w:pStyle w:val="BodyTex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develop and deliver awareness, training and information sessions for academic and support staff, including </w:t>
      </w:r>
      <w:r>
        <w:rPr>
          <w:rFonts w:ascii="Arial" w:hAnsi="Arial" w:eastAsia="Arial" w:cs="Arial"/>
          <w:color w:val="000000"/>
          <w:sz w:val="20"/>
          <w:szCs w:val="20"/>
          <w:lang w:val="en-GB" w:eastAsia="en-GB" w:bidi="en-GB"/>
        </w:rPr>
        <w:t xml:space="preserve">representing Wellbeing Services in relevant university networks and professional organisations. </w:t>
        <w:br w:type="textWrapping"/>
      </w:r>
    </w:p>
    <w:p>
      <w:pPr>
        <w:pStyle w:val="BodyText"/>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hanging="360"/>
        <w:rPr>
          <w:rFonts w:ascii="Arial" w:hAnsi="Arial" w:eastAsia="Arial" w:cs="Arial"/>
          <w:sz w:val="20"/>
          <w:szCs w:val="20"/>
          <w:lang w:val="en-GB" w:eastAsia="en-GB" w:bidi="en-GB"/>
        </w:rPr>
      </w:pPr>
      <w:r>
        <w:rPr>
          <w:rFonts w:ascii="Arial" w:hAnsi="Arial" w:eastAsia="Arial" w:cs="Arial"/>
          <w:color w:val="000000"/>
          <w:sz w:val="20"/>
          <w:szCs w:val="20"/>
          <w:lang w:val="en-GB" w:eastAsia="en-GB" w:bidi="en-GB"/>
        </w:rPr>
        <w:t xml:space="preserve">Matrix-support of Wellbeing Administrators responding to students walking in or calling in distress. </w:t>
      </w:r>
      <w:r>
        <w:rPr>
          <w:rFonts w:ascii="Arial" w:hAnsi="Arial" w:eastAsia="Arial" w:cs="Arial"/>
          <w:sz w:val="20"/>
          <w:szCs w:val="20"/>
          <w:lang w:val="en-GB" w:eastAsia="en-GB" w:bidi="en-GB"/>
        </w:rPr>
        <w:br w:type="textWrapping"/>
      </w:r>
    </w:p>
    <w:p>
      <w:pPr>
        <w:pStyle w:val="BodyTex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hanging="360"/>
        <w:rPr>
          <w:rFonts w:ascii="Arial" w:hAnsi="Arial" w:eastAsia="Arial" w:cs="Arial"/>
          <w:sz w:val="20"/>
          <w:szCs w:val="20"/>
          <w:shd w:val="clear" w:color="auto" w:fill="FFFF00"/>
          <w:lang w:val="en-GB" w:eastAsia="en-GB" w:bidi="en-GB"/>
        </w:rPr>
      </w:pPr>
      <w:r>
        <w:rPr>
          <w:rFonts w:ascii="Arial" w:hAnsi="Arial" w:eastAsia="Arial" w:cs="Arial"/>
          <w:sz w:val="20"/>
          <w:szCs w:val="20"/>
          <w:lang w:val="en-GB" w:eastAsia="en-GB" w:bidi="en-GB"/>
        </w:rPr>
        <w:t xml:space="preserve">To participate in, and coordinate where required, service audit and evaluation procedures including to actively participate in regular appointment monitoring and quality of case handling to include review and self-reflection.</w:t>
      </w:r>
      <w:r>
        <w:rPr>
          <w:rFonts w:ascii="Arial" w:hAnsi="Arial" w:eastAsia="Arial" w:cs="Arial"/>
          <w:sz w:val="20"/>
          <w:szCs w:val="20"/>
          <w:shd w:val="clear" w:color="auto" w:fill="FFFF00"/>
          <w:lang w:val="en-GB" w:eastAsia="en-GB" w:bidi="en-GB"/>
        </w:rPr>
        <w:br w:type="textWrapping"/>
      </w:r>
    </w:p>
    <w:p>
      <w:pPr>
        <w:pStyle w:val="BodyTex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attend and actively participate in regular service wide meetings and work with the Pathway Lead to improve and/or consistently maintain pathway performance. </w:t>
        <w:br w:type="textWrapping"/>
      </w:r>
    </w:p>
    <w:p>
      <w:pPr>
        <w:pStyle w:val="BodyTex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operate within all local and national policies, protocols and procedures provided including risk, postvention and safeguarding policies. </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sz w:val="20"/>
          <w:szCs w:val="20"/>
          <w:lang w:val="en-GB" w:eastAsia="en-GB" w:bidi="en-GB"/>
        </w:rPr>
      </w:pPr>
    </w:p>
    <w:p>
      <w:pPr>
        <w:pStyle w:val="BodyTex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make an active contribution to the work of Student Support Services, working collaboratively towards the shared goals of the department/Service/institution. </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sz w:val="20"/>
          <w:szCs w:val="20"/>
          <w:lang w:val="en-GB" w:eastAsia="en-GB" w:bidi="en-GB"/>
        </w:rPr>
      </w:pPr>
    </w:p>
    <w:p>
      <w:pPr>
        <w:pStyle w:val="BodyTex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be a good team player, who supports and contributes to the morale and development of  the team</w:t>
      </w:r>
    </w:p>
    <w:p>
      <w:pPr>
        <w:pStyle w:val="BodyT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jc w:val="both"/>
        <w:rPr>
          <w:rFonts w:ascii="Arial" w:hAnsi="Arial" w:eastAsia="Arial" w:cs="Arial"/>
          <w:sz w:val="20"/>
          <w:szCs w:val="20"/>
          <w:lang w:val="en-GB" w:eastAsia="en-GB" w:bidi="en-GB"/>
        </w:rPr>
      </w:pPr>
    </w:p>
    <w:p>
      <w:pPr>
        <w:pStyle w:val="BodyTex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undertake appropriate training and supervision, as required by the University, in order to ensure a professional approach to the work. </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sz w:val="20"/>
          <w:szCs w:val="20"/>
          <w:lang w:val="en-GB" w:eastAsia="en-GB" w:bidi="en-GB"/>
        </w:rPr>
      </w:pPr>
    </w:p>
    <w:p>
      <w:pPr>
        <w:pStyle w:val="BodyTex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engage in research and scholarly activity as appropriate to the needs of the service. </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sz w:val="20"/>
          <w:szCs w:val="20"/>
          <w:lang w:val="en-GB" w:eastAsia="en-GB" w:bidi="en-GB"/>
        </w:rPr>
      </w:pPr>
    </w:p>
    <w:p>
      <w:pPr>
        <w:pStyle w:val="BodyTex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undertake any other duties that fall within the scope of the post, following discussion with the line manager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u w:val="single"/>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color w:val="0070C0"/>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color w:val="0070C0"/>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106"/>
        <w:gridCol w:w="2951"/>
        <w:gridCol w:w="2959"/>
      </w:tblGrid>
      <w:tr>
        <w:tc>
          <w:tcPr>
            <w:tcW w:w="310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Competency</w:t>
            </w:r>
          </w:p>
        </w:tc>
        <w:tc>
          <w:tcPr>
            <w:tcW w:w="295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Essential</w:t>
            </w:r>
          </w:p>
        </w:tc>
        <w:tc>
          <w:tcPr>
            <w:tcW w:w="295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Desirable</w:t>
            </w:r>
          </w:p>
        </w:tc>
      </w:tr>
      <w:tr>
        <w:tc>
          <w:tcPr>
            <w:tcW w:w="3106"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p>
        </w:tc>
        <w:tc>
          <w:tcPr>
            <w:tcW w:w="2951" w:type="dxa"/>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Educated to Further Education Level or equivalent relevant experience.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p>
        </w:tc>
        <w:tc>
          <w:tcPr>
            <w:tcW w:w="2959" w:type="dxa"/>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Relevant specialist or professional qualification.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Mental Health First Aid or Equivalent. </w:t>
            </w:r>
          </w:p>
        </w:tc>
      </w:tr>
      <w:tr>
        <w:tc>
          <w:tcPr>
            <w:tcW w:w="3106"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p>
        </w:tc>
        <w:tc>
          <w:tcPr>
            <w:tcW w:w="2951" w:type="dxa"/>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delivering and coordinating direct support to individuals with health and wellbeing needs, including mental health difficulties.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carrying out risk assessments.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06"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Ability to deal with urgent situations, triage and signpost students to support services in a compassionate way.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working effectively with a range of mental health and wellbeing issues in a professional context.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working within education, or a similar setting, with students or young people.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supporting those statistically less likely to engage in wellbeing support e.g. BAME, young men, LGBTQ+ and international students.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working in a holistic and person-centred way.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working collaboratively and proactively in a team and with multiple teams to deliver high service standards.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Proven ability to present information to large groups in an engaging way.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p>
        </w:tc>
        <w:tc>
          <w:tcPr>
            <w:tcW w:w="2959" w:type="dxa"/>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working with and advising students in Higher Education</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Higher Education support services.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working within Mental Health triaging services e.g. First Response </w:t>
            </w:r>
          </w:p>
        </w:tc>
      </w:tr>
      <w:tr>
        <w:tc>
          <w:tcPr>
            <w:tcW w:w="3106"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Skills and Understanding</w:t>
            </w:r>
          </w:p>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US" w:eastAsia="en-US" w:bidi="en-US"/>
              </w:rPr>
            </w:pPr>
          </w:p>
        </w:tc>
        <w:tc>
          <w:tcPr>
            <w:tcW w:w="2951" w:type="dxa"/>
            <w:shd w:val="clear" w:color="auto" w:fill="auto"/>
            <w:vAlign w:val="top"/>
          </w:tcPr>
          <w:p>
            <w:pPr>
              <w:pStyle w:val="Table 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right="191" w:hanging="360"/>
              <w:rPr>
                <w:sz w:val="20"/>
                <w:szCs w:val="20"/>
                <w:lang w:val="en-US" w:eastAsia="en-US" w:bidi="en-US"/>
              </w:rPr>
            </w:pPr>
            <w:r>
              <w:rPr>
                <w:sz w:val="20"/>
                <w:szCs w:val="20"/>
                <w:lang w:val="en-US" w:eastAsia="en-US" w:bidi="en-US"/>
              </w:rPr>
              <w:t xml:space="preserve">Experience of working collaboratively and proactively in a team and with multiple team members to deliver to multiple objectives and high standards</w:t>
            </w:r>
          </w:p>
          <w:p>
            <w:pPr>
              <w:pStyle w:val="Table 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right="191" w:hanging="360"/>
              <w:rPr>
                <w:sz w:val="20"/>
                <w:szCs w:val="20"/>
                <w:lang w:val="en-US" w:eastAsia="en-US" w:bidi="en-US"/>
              </w:rPr>
            </w:pPr>
            <w:r>
              <w:rPr>
                <w:sz w:val="20"/>
                <w:szCs w:val="20"/>
                <w:lang w:val="en-US" w:eastAsia="en-US" w:bidi="en-US"/>
              </w:rPr>
              <w:t xml:space="preserve">Understanding of both internal and external policies and drivers relevant to student support, confidentiality practices and legal requirements under data protection.</w:t>
            </w:r>
          </w:p>
          <w:p>
            <w:pPr>
              <w:pStyle w:val="Table 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right="191" w:hanging="360"/>
              <w:rPr>
                <w:sz w:val="20"/>
                <w:szCs w:val="20"/>
                <w:lang w:val="en-US" w:eastAsia="en-US" w:bidi="en-US"/>
              </w:rPr>
            </w:pPr>
            <w:r>
              <w:rPr>
                <w:sz w:val="20"/>
                <w:szCs w:val="20"/>
                <w:lang w:val="en-US" w:eastAsia="en-US" w:bidi="en-US"/>
              </w:rPr>
              <w:t xml:space="preserve">Excellent organisation and planning skills, with ability to manage own workload, set priorities and work to a strict deadline whilst remaining calm under pressure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Proven ability to interrogate complex data and produce evidence-based recommendations to inform strategy and planning.</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Understanding of the challenges faced by students within the HE context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Knowledge of support services – both statutory and third sector – relevant to various mental health and wellbeing presentations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Ability to set and maintain appropriate boundaries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Ability to maintain accurate and up-to-date records.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Ability to build strong professional relationships</w:t>
            </w:r>
          </w:p>
          <w:p>
            <w:pPr>
              <w:pStyle w:val="Table 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right="104" w:hanging="360"/>
              <w:rPr>
                <w:sz w:val="20"/>
                <w:szCs w:val="20"/>
                <w:lang w:val="en-US" w:eastAsia="en-US" w:bidi="en-US"/>
              </w:rPr>
            </w:pPr>
            <w:r>
              <w:rPr>
                <w:sz w:val="20"/>
                <w:szCs w:val="20"/>
                <w:lang w:val="en-US" w:eastAsia="en-US" w:bidi="en-US"/>
              </w:rPr>
              <w:t xml:space="preserve">Excellent oral and written communication skills, with an ability to communicate</w:t>
            </w:r>
            <w:r>
              <w:rPr>
                <w:spacing w:val="-14"/>
                <w:sz w:val="20"/>
                <w:szCs w:val="20"/>
                <w:lang w:val="en-US" w:eastAsia="en-US" w:bidi="en-US"/>
              </w:rPr>
              <w:t xml:space="preserve"> </w:t>
            </w:r>
            <w:r>
              <w:rPr>
                <w:sz w:val="20"/>
                <w:szCs w:val="20"/>
                <w:lang w:val="en-US" w:eastAsia="en-US" w:bidi="en-US"/>
              </w:rPr>
              <w:t xml:space="preserve">complex information clearly to a variety of</w:t>
            </w:r>
            <w:r>
              <w:rPr>
                <w:spacing w:val="-9"/>
                <w:sz w:val="20"/>
                <w:szCs w:val="20"/>
                <w:lang w:val="en-US" w:eastAsia="en-US" w:bidi="en-US"/>
              </w:rPr>
              <w:t xml:space="preserve"> </w:t>
            </w:r>
            <w:r>
              <w:rPr>
                <w:sz w:val="20"/>
                <w:szCs w:val="20"/>
                <w:lang w:val="en-US" w:eastAsia="en-US" w:bidi="en-US"/>
              </w:rPr>
              <w:t xml:space="preserve">audiences.</w:t>
            </w:r>
          </w:p>
          <w:p>
            <w:pPr>
              <w:pStyle w:val="Table 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right="103" w:hanging="360"/>
              <w:rPr>
                <w:sz w:val="20"/>
                <w:szCs w:val="20"/>
                <w:lang w:val="en-US" w:eastAsia="en-US" w:bidi="en-US"/>
              </w:rPr>
            </w:pPr>
            <w:r>
              <w:rPr>
                <w:sz w:val="20"/>
                <w:szCs w:val="20"/>
                <w:lang w:val="en-US" w:eastAsia="en-US" w:bidi="en-US"/>
              </w:rPr>
              <w:t xml:space="preserve">Excellent attention to detail</w:t>
            </w:r>
            <w:r>
              <w:rPr>
                <w:spacing w:val="-15"/>
                <w:sz w:val="20"/>
                <w:szCs w:val="20"/>
                <w:lang w:val="en-US" w:eastAsia="en-US" w:bidi="en-US"/>
              </w:rPr>
              <w:t xml:space="preserve"> </w:t>
            </w:r>
            <w:r>
              <w:rPr>
                <w:sz w:val="20"/>
                <w:szCs w:val="20"/>
                <w:lang w:val="en-US" w:eastAsia="en-US" w:bidi="en-US"/>
              </w:rPr>
              <w:t xml:space="preserve">and ability to provide accurate information</w:t>
            </w:r>
          </w:p>
          <w:p>
            <w:pPr>
              <w:pStyle w:val="Table 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 w:line="271" w:lineRule="auto"/>
              <w:ind w:left="720" w:right="234" w:hanging="360"/>
              <w:rPr>
                <w:sz w:val="20"/>
                <w:szCs w:val="20"/>
                <w:lang w:val="en-US" w:eastAsia="en-US" w:bidi="en-US"/>
              </w:rPr>
            </w:pPr>
            <w:r>
              <w:rPr>
                <w:sz w:val="20"/>
                <w:szCs w:val="20"/>
                <w:lang w:val="en-US" w:eastAsia="en-US" w:bidi="en-US"/>
              </w:rPr>
              <w:t xml:space="preserve">Proven ability to think laterally and solve complex</w:t>
            </w:r>
            <w:r>
              <w:rPr>
                <w:spacing w:val="-11"/>
                <w:sz w:val="20"/>
                <w:szCs w:val="20"/>
                <w:lang w:val="en-US" w:eastAsia="en-US" w:bidi="en-US"/>
              </w:rPr>
              <w:t xml:space="preserve"> </w:t>
            </w:r>
            <w:r>
              <w:rPr>
                <w:sz w:val="20"/>
                <w:szCs w:val="20"/>
                <w:lang w:val="en-US" w:eastAsia="en-US" w:bidi="en-US"/>
              </w:rPr>
              <w:t xml:space="preserve">problems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rFonts w:ascii="Arial" w:hAnsi="Arial" w:eastAsia="Arial" w:cs="Arial"/>
                <w:sz w:val="20"/>
                <w:szCs w:val="20"/>
                <w:lang w:val="en-GB" w:eastAsia="en-GB" w:bidi="en-GB"/>
              </w:rPr>
            </w:pPr>
          </w:p>
        </w:tc>
        <w:tc>
          <w:tcPr>
            <w:tcW w:w="2959" w:type="dxa"/>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Identifying areas for process improvement, making</w:t>
            </w:r>
            <w:r>
              <w:rPr>
                <w:rFonts w:ascii="Arial" w:hAnsi="Arial" w:eastAsia="Arial" w:cs="Arial"/>
                <w:spacing w:val="-10"/>
                <w:sz w:val="20"/>
                <w:szCs w:val="20"/>
                <w:lang w:val="en-GB" w:eastAsia="en-GB" w:bidi="en-GB"/>
              </w:rPr>
              <w:t xml:space="preserve"> </w:t>
            </w:r>
            <w:r>
              <w:rPr>
                <w:rFonts w:ascii="Arial" w:hAnsi="Arial" w:eastAsia="Arial" w:cs="Arial"/>
                <w:sz w:val="20"/>
                <w:szCs w:val="20"/>
                <w:lang w:val="en-GB" w:eastAsia="en-GB" w:bidi="en-GB"/>
              </w:rPr>
              <w:t xml:space="preserve">recommendations and successfully implementing</w:t>
            </w:r>
            <w:r>
              <w:rPr>
                <w:rFonts w:ascii="Arial" w:hAnsi="Arial" w:eastAsia="Arial" w:cs="Arial"/>
                <w:spacing w:val="-11"/>
                <w:sz w:val="20"/>
                <w:szCs w:val="20"/>
                <w:lang w:val="en-GB" w:eastAsia="en-GB" w:bidi="en-GB"/>
              </w:rPr>
              <w:t xml:space="preserve"> </w:t>
            </w:r>
            <w:r>
              <w:rPr>
                <w:rFonts w:ascii="Arial" w:hAnsi="Arial" w:eastAsia="Arial" w:cs="Arial"/>
                <w:sz w:val="20"/>
                <w:szCs w:val="20"/>
                <w:lang w:val="en-GB" w:eastAsia="en-GB" w:bidi="en-GB"/>
              </w:rPr>
              <w:t xml:space="preserve">change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Skills and experience in mentoring and/or working with students.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Knowledge of University support services both within Wellbeing Services and more broadly. </w:t>
            </w:r>
          </w:p>
        </w:tc>
      </w:tr>
      <w:tr>
        <w:tc>
          <w:tcPr>
            <w:tcW w:w="3106"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p>
        </w:tc>
        <w:tc>
          <w:tcPr>
            <w:tcW w:w="2951" w:type="dxa"/>
            <w:shd w:val="clear" w:color="auto" w:fill="auto"/>
            <w:vAlign w:val="top"/>
          </w:tcPr>
          <w:p>
            <w:pPr>
              <w:pStyle w:val="Table 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720" w:right="366" w:hanging="360"/>
              <w:rPr>
                <w:sz w:val="20"/>
                <w:szCs w:val="20"/>
                <w:lang w:val="en-US" w:eastAsia="en-US" w:bidi="en-US"/>
              </w:rPr>
            </w:pPr>
            <w:r>
              <w:rPr>
                <w:sz w:val="20"/>
                <w:szCs w:val="20"/>
                <w:lang w:val="en-US" w:eastAsia="en-US" w:bidi="en-US"/>
              </w:rPr>
              <w:t xml:space="preserve">Resilient disposition with the ability to hold sensitive and difficult conversations with people in a distressed or acutely affected</w:t>
            </w:r>
            <w:r>
              <w:rPr>
                <w:spacing w:val="-14"/>
                <w:sz w:val="20"/>
                <w:szCs w:val="20"/>
                <w:lang w:val="en-US" w:eastAsia="en-US" w:bidi="en-US"/>
              </w:rPr>
              <w:t xml:space="preserve"> </w:t>
            </w:r>
            <w:r>
              <w:rPr>
                <w:sz w:val="20"/>
                <w:szCs w:val="20"/>
                <w:lang w:val="en-US" w:eastAsia="en-US" w:bidi="en-US"/>
              </w:rPr>
              <w:t xml:space="preserve">state.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Excellent interpersonal skills. Approachable, patient and empathetic listener with balanced and sensitive judgement </w:t>
            </w:r>
          </w:p>
          <w:p>
            <w:pPr>
              <w:pStyle w:val="Table 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 w:line="276" w:lineRule="auto"/>
              <w:ind w:left="720" w:right="146" w:hanging="360"/>
              <w:rPr>
                <w:sz w:val="20"/>
                <w:szCs w:val="20"/>
                <w:lang w:val="en-US" w:eastAsia="en-US" w:bidi="en-US"/>
              </w:rPr>
            </w:pPr>
            <w:r>
              <w:rPr>
                <w:sz w:val="20"/>
                <w:szCs w:val="20"/>
                <w:lang w:val="en-US" w:eastAsia="en-US" w:bidi="en-US"/>
              </w:rPr>
              <w:t xml:space="preserve">Ability to obtain cooperation by developing excellent working relationships with a wide</w:t>
            </w:r>
            <w:r>
              <w:rPr>
                <w:spacing w:val="-11"/>
                <w:sz w:val="20"/>
                <w:szCs w:val="20"/>
                <w:lang w:val="en-US" w:eastAsia="en-US" w:bidi="en-US"/>
              </w:rPr>
              <w:t xml:space="preserve"> </w:t>
            </w:r>
            <w:r>
              <w:rPr>
                <w:sz w:val="20"/>
                <w:szCs w:val="20"/>
                <w:lang w:val="en-US" w:eastAsia="en-US" w:bidi="en-US"/>
              </w:rPr>
              <w:t xml:space="preserve">range of</w:t>
            </w:r>
            <w:r>
              <w:rPr>
                <w:spacing w:val="-6"/>
                <w:sz w:val="20"/>
                <w:szCs w:val="20"/>
                <w:lang w:val="en-US" w:eastAsia="en-US" w:bidi="en-US"/>
              </w:rPr>
              <w:t xml:space="preserve"> </w:t>
            </w:r>
            <w:r>
              <w:rPr>
                <w:sz w:val="20"/>
                <w:szCs w:val="20"/>
                <w:lang w:val="en-US" w:eastAsia="en-US" w:bidi="en-US"/>
              </w:rPr>
              <w:t xml:space="preserve">people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 willingness to be creative and flexible in developing Wellbeing Services.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Ability to use own judgment to make decisions.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Competence and confidence to work independently and to be a good team player.</w:t>
            </w:r>
          </w:p>
        </w:tc>
        <w:tc>
          <w:tcPr>
            <w:tcW w:w="295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tc>
      </w:tr>
      <w:tr>
        <w:tc>
          <w:tcPr>
            <w:tcW w:w="3106"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Other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p>
        </w:tc>
        <w:tc>
          <w:tcPr>
            <w:tcW w:w="2951" w:type="dxa"/>
            <w:shd w:val="clear" w:color="auto" w:fill="auto"/>
            <w:vAlign w:val="top"/>
          </w:tcPr>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Knowledge of current professional developments in mental health practice and/or psychological interventions.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post holder may be required to work non-standard hours according to the delivery needs of the service.</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Please note that this role is subject to a DBS check. At the University of Exeter, we are committed to the safeguarding and welfare of children, young people and vulnerable adults.  We expect all our staff to share this commitment.</w:t>
            </w:r>
          </w:p>
        </w:tc>
        <w:tc>
          <w:tcPr>
            <w:tcW w:w="2959" w:type="dxa"/>
            <w:shd w:val="clear" w:color="auto" w:fill="auto"/>
            <w:vAlign w:val="top"/>
          </w:tcPr>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Knowledge of the relevant legislation and statutory obligations affecting students with mental health issues in Higher Education.</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An understanding of issues relating to access to the curriculum for learners with mental health difficulties in Higher Education.</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	</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Informal Enquiries</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Before submitting an application you may wish to discuss the post further by contacting Joy Davies, Wellbeing Services Operations Manager, telephone (01392 724381) or email j.l.davies@exeter.ac.uk.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sectPr>
      <w:pgSz w:w="11906" w:h="16838"/>
      <w:pgMar w:top="993" w:right="1440" w:bottom="1135"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MS Sans Serif">
    <w:charset w:val="00"/>
    <w:family w:val="swiss"/>
    <w:pitch w:val="variable"/>
  </w:font>
  <w:font w:name="Verdana">
    <w:panose1 w:val="020B0604030504040204"/>
    <w:charset w:val="00"/>
    <w:family w:val="swiss"/>
    <w:pitch w:val="variable"/>
    <w:sig w:usb0="A00006FF" w:usb1="4000205B" w:usb2="00000010" w:usb3="00000000" w:csb0="2000019F" w:csb1="00000000"/>
  </w:font>
  <w:font w:name="Segoe UI">
    <w:panose1 w:val="020B0502040204020203"/>
    <w:charset w:val="00"/>
    <w:family w:val="swiss"/>
    <w:pitch w:val="variable"/>
    <w:sig w:usb0="E4002EFF" w:usb1="C000E47F" w:usb2="00000009" w:usb3="00000000" w:csb0="200001FF" w:csb1="00000000"/>
  </w:font>
</w:fonts>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abstractNum w:abstractNumId="1">
    <w:multiLevelType w:val="singleLevel"/>
    <w:lvl w:ilvl="0">
      <w:start w:val="1"/>
      <w:numFmt w:val="decimal"/>
      <w:suff w:val="tab"/>
      <w:lvlText w:val="%1."/>
      <w:pPr>
        <w:ind w:left="720" w:hanging="360"/>
        <w:tabs>
          <w:tab w:val="num" w:pos="720"/>
        </w:tabs>
      </w:pPr>
      <w:rPr>
        <w:rFonts w:hint="default" w:ascii="Arial" w:hAnsi="Arial" w:eastAsia="Arial" w:cs="Arial"/>
        <w:b w:val="off"/>
        <w:i w:val="off"/>
        <w:strike w:val="off"/>
        <w:color w:val="auto"/>
        <w:position w:val="0"/>
        <w:sz w:val="20"/>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color="auto" w:fill="auto"/>
      </w:rPr>
    </w:lvl>
  </w:abstractNum>
  <w:num w:numId="1">
    <w:abstractNumId w:val="0"/>
  </w:num>
  <w:num w:numId="2">
    <w:abstractNumId w:val="1"/>
  </w:num>
  <w:num w:numId="3">
    <w:abstractNumId w:val="1"/>
    <w:lvlOverride w:ilvl="0">
      <w:lvl w:ilvl="0">
        <w:start w:val="1"/>
        <w:numFmt w:val="decimal"/>
        <w:suff w:val="tab"/>
        <w:lvlText w:val="%1."/>
        <w:pPr>
          <w:ind w:left="720" w:hanging="360"/>
          <w:tabs>
            <w:tab w:val="num" w:pos="720"/>
          </w:tabs>
        </w:pPr>
        <w:rPr>
          <w:rFonts w:hint="default" w:ascii="Arial" w:hAnsi="Arial" w:eastAsia="Arial" w:cs="Arial"/>
          <w:b w:val="off"/>
          <w:i w:val="off"/>
          <w:strike w:val="off"/>
          <w:color w:val="000000"/>
          <w:position w:val="0"/>
          <w:sz w:val="20"/>
          <w:u w:val="none"/>
          <w:shd w:val="clear" w:color="auto" w:fill="auto"/>
        </w:rPr>
      </w:lvl>
    </w:lvlOverride>
  </w:num>
  <w:num w:numId="4">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59"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Heading1">
    <w:name w:val="heading 1"/>
    <w:basedOn w:val="Normal"/>
    <w:next w:val="Normal"/>
    <w:qFormat/>
    <w:pPr>
      <w:keepNext/>
      <w:spacing w:after="0" w:line="240" w:lineRule="auto"/>
      <w:outlineLvl w:val="0"/>
    </w:pPr>
    <w:rPr>
      <w:rFonts w:ascii="Times New Roman" w:hAnsi="Times New Roman" w:eastAsia="Times New Roman" w:cs="Times New Roman"/>
      <w:b/>
      <w:bCs/>
      <w:u w:val="single"/>
      <w:lang w:val="en-GB" w:eastAsia="en-GB" w:bidi="en-GB"/>
    </w:rPr>
  </w:style>
  <w:style w:type="paragraph" w:styleId="BodyText3">
    <w:name w:val="Body Text 3"/>
    <w:basedOn w:val="Normal"/>
    <w:next w:val="BodyText3"/>
    <w:qFormat/>
    <w:pPr>
      <w:spacing w:after="0" w:line="240" w:lineRule="auto"/>
      <w:jc w:val="both"/>
    </w:pPr>
    <w:rPr>
      <w:rFonts w:ascii="MS Sans Serif" w:hAnsi="MS Sans Serif" w:eastAsia="MS Sans Serif" w:cs="MS Sans Serif"/>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BodyText">
    <w:name w:val="Body Text"/>
    <w:basedOn w:val="Normal"/>
    <w:next w:val="BodyText"/>
    <w:qFormat/>
    <w:pPr>
      <w:spacing w:after="0" w:line="240" w:lineRule="auto"/>
    </w:pPr>
    <w:rPr>
      <w:rFonts w:ascii="Times New Roman" w:hAnsi="Times New Roman" w:eastAsia="Times New Roman" w:cs="Times New Roman"/>
      <w:lang w:val="en-GB" w:eastAsia="en-GB" w:bidi="en-GB"/>
    </w:rPr>
  </w:style>
  <w:style w:type="paragraph" w:styleId="NormalWeb">
    <w:name w:val="Normal (Web)"/>
    <w:basedOn w:val="Normal"/>
    <w:next w:val="NormalWeb"/>
    <w:qFormat/>
    <w:pPr>
      <w:spacing w:after="0" w:line="240" w:lineRule="auto"/>
    </w:pPr>
    <w:rPr>
      <w:rFonts w:ascii="Verdana" w:hAnsi="Verdana" w:eastAsia="Verdana" w:cs="Verdana"/>
      <w:color w:val="333333"/>
      <w:sz w:val="14"/>
      <w:szCs w:val="14"/>
      <w:lang w:val="en-GB" w:eastAsia="en-GB" w:bidi="en-GB"/>
    </w:rPr>
  </w:style>
  <w:style w:type="paragraph" w:styleId="Table Paragraph" w:customStyle="1">
    <w:name w:val="Table Paragraph"/>
    <w:basedOn w:val="Normal"/>
    <w:next w:val="Table Paragraph"/>
    <w:qFormat/>
    <w:pPr>
      <w:widowControl w:val="off"/>
      <w:spacing w:after="0" w:line="240" w:lineRule="auto"/>
      <w:ind w:left="624" w:hanging="284"/>
    </w:pPr>
    <w:rPr>
      <w:rFonts w:ascii="Arial" w:hAnsi="Arial" w:eastAsia="Arial" w:cs="Arial"/>
      <w:lang w:val="en-US" w:eastAsia="en-US" w:bidi="en-US"/>
    </w:rPr>
  </w:style>
  <w:style w:type="paragraph" w:styleId="CommentText">
    <w:name w:val="annotation text"/>
    <w:basedOn w:val="Normal"/>
    <w:next w:val="CommentText"/>
    <w:qFormat/>
    <w:pPr>
      <w:spacing w:line="240" w:lineRule="auto"/>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paragraph" w:styleId="BalloonText">
    <w:name w:val="Balloon Text"/>
    <w:basedOn w:val="Normal"/>
    <w:next w:val="BalloonText"/>
    <w:qFormat/>
    <w:pPr>
      <w:spacing w:after="0" w:line="240" w:lineRule="auto"/>
    </w:pPr>
    <w:rPr>
      <w:rFonts w:ascii="Segoe UI" w:hAnsi="Segoe UI" w:eastAsia="Segoe UI" w:cs="Segoe UI"/>
      <w:sz w:val="18"/>
      <w:szCs w:val="18"/>
      <w:lang w:val="en-GB" w:eastAsia="en-GB" w:bidi="en-GB"/>
    </w:rPr>
  </w:style>
  <w:style w:type="character" w:styleId="Hyperlink">
    <w:name w:val="Hyperlink"/>
    <w:qFormat/>
    <w:rPr>
      <w:color w:val="0563C1"/>
      <w:u w:val="single"/>
      <w:rtl w:val="off"/>
    </w:rPr>
  </w:style>
  <w:style w:type="character" w:styleId="Heading 1 Char" w:customStyle="1">
    <w:name w:val="Heading 1 Char"/>
    <w:qFormat/>
    <w:rPr>
      <w:rFonts w:ascii="Times New Roman" w:hAnsi="Times New Roman" w:eastAsia="Times New Roman" w:cs="Times New Roman"/>
      <w:b/>
      <w:bCs/>
      <w:u w:val="single"/>
      <w:rtl w:val="off"/>
    </w:rPr>
  </w:style>
  <w:style w:type="character" w:styleId="Body Text Char" w:customStyle="1">
    <w:name w:val="Body Text Char"/>
    <w:qFormat/>
    <w:rPr>
      <w:rFonts w:ascii="Times New Roman" w:hAnsi="Times New Roman" w:eastAsia="Times New Roman" w:cs="Times New Roman"/>
      <w:rtl w:val="off"/>
    </w:rPr>
  </w:style>
  <w:style w:type="character" w:styleId="Body Text 3 Char" w:customStyle="1">
    <w:name w:val="Body Text 3 Char"/>
    <w:qFormat/>
    <w:rPr>
      <w:rFonts w:ascii="MS Sans Serif" w:hAnsi="MS Sans Serif" w:eastAsia="MS Sans Serif" w:cs="MS Sans Serif"/>
      <w:rtl w:val="off"/>
    </w:rPr>
  </w:style>
  <w:style w:type="character" w:styleId="CommentReference">
    <w:name w:val="annotation reference"/>
    <w:qFormat/>
    <w:rPr>
      <w:sz w:val="16"/>
      <w:szCs w:val="16"/>
      <w:rtl w:val="off"/>
    </w:rPr>
  </w:style>
  <w:style w:type="character" w:styleId="Comment Text Char" w:customStyle="1">
    <w:name w:val="Comment Text Char"/>
    <w:qFormat/>
    <w:rPr>
      <w:sz w:val="20"/>
      <w:szCs w:val="20"/>
      <w:rtl w:val="off"/>
    </w:rPr>
  </w:style>
  <w:style w:type="character" w:styleId="Comment Subject Char" w:customStyle="1">
    <w:name w:val="Comment Subject Char"/>
    <w:basedOn w:val="Comment Text Char"/>
    <w:qFormat/>
    <w:rPr>
      <w:b/>
      <w:bCs/>
      <w:sz w:val="20"/>
      <w:szCs w:val="20"/>
    </w:rPr>
  </w:style>
  <w:style w:type="character" w:styleId="Balloon Text Char" w:customStyle="1">
    <w:name w:val="Balloon Text Char"/>
    <w:qFormat/>
    <w:rPr>
      <w:rFonts w:ascii="Segoe UI" w:hAnsi="Segoe UI" w:eastAsia="Segoe UI" w:cs="Segoe UI"/>
      <w:sz w:val="18"/>
      <w:szCs w:val="18"/>
      <w:rtl w:val="off"/>
    </w:rPr>
  </w:style>
  <w:style w:type="character" w:styleId="UnresolvedMention">
    <w:name w:val="Unresolved Mention"/>
    <w:qFormat/>
    <w:rPr>
      <w:color w:val="605E5C"/>
      <w:shd w:val="clear" w:color="auto" w:fill="E1DFDD"/>
      <w:rtl w:val="off"/>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6" Type="http://schemas.openxmlformats.org/officeDocument/2006/relationships/image" Target="media/image0001.png"/>
	<Relationship Id="rId00007" Type="http://schemas.openxmlformats.org/officeDocument/2006/relationships/image" Target="media/image0002.emf"/>
	<Relationship Id="rId00008" Type="http://schemas.openxmlformats.org/officeDocument/2006/relationships/numbering" Target="numbering.xml"/>
	<Relationship Id="rId00009" Type="http://schemas.openxmlformats.org/officeDocument/2006/relationships/fontTable" Target="fontTable.xml"/>
	<Relationship Id="rId000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McGinn, Jessica</dc:creator>
  <dcterms:created xsi:type="dcterms:W3CDTF">2023-08-15T18:56:00Z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0x0101001D07099AF728C64A909C590C25ABD337</vt:lpwstr>
  </property>
</Properties>
</file>